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870" w:rsidRDefault="00A04870" w:rsidP="00A04870">
      <w:pPr>
        <w:pStyle w:val="Title"/>
      </w:pPr>
      <w:r w:rsidRPr="006C4CBD">
        <w:t>INDIA’S STANCE AT THE WTO SETTLEMENT PROCEEDINGS AS A THIRD PARTY</w:t>
      </w:r>
    </w:p>
    <w:p w:rsidR="00107EE0" w:rsidRPr="00BA3F83" w:rsidRDefault="00107EE0" w:rsidP="00107EE0">
      <w:pPr>
        <w:jc w:val="right"/>
        <w:rPr>
          <w:rFonts w:ascii="Times New Roman" w:hAnsi="Times New Roman" w:cs="Times New Roman"/>
          <w:sz w:val="24"/>
        </w:rPr>
      </w:pPr>
      <w:r>
        <w:rPr>
          <w:rFonts w:ascii="Times New Roman" w:hAnsi="Times New Roman" w:cs="Times New Roman"/>
          <w:sz w:val="24"/>
        </w:rPr>
        <w:t xml:space="preserve">By- </w:t>
      </w:r>
      <w:r w:rsidR="00A04870">
        <w:rPr>
          <w:rFonts w:ascii="Times New Roman" w:hAnsi="Times New Roman" w:cs="Times New Roman"/>
          <w:sz w:val="24"/>
        </w:rPr>
        <w:t>Rashmi Shukla</w:t>
      </w:r>
    </w:p>
    <w:p w:rsidR="00A04870" w:rsidRDefault="00A04870" w:rsidP="00A04870">
      <w:pPr>
        <w:pStyle w:val="Heading3"/>
        <w:spacing w:line="360" w:lineRule="auto"/>
        <w:jc w:val="both"/>
        <w:rPr>
          <w:i w:val="0"/>
          <w:smallCaps w:val="0"/>
          <w:szCs w:val="24"/>
        </w:rPr>
      </w:pPr>
      <w:r w:rsidRPr="00A04870">
        <w:rPr>
          <w:i w:val="0"/>
          <w:smallCaps w:val="0"/>
          <w:szCs w:val="24"/>
        </w:rPr>
        <w:t xml:space="preserve">The dispute settlement system of the World Trade Organization (WTO) has resolved hundreds of landmark and heated trade, economical and commercial tensions between states since its inception in the year 1995. The procedural nature of these settlements is such that, one or more member country files a challenge against an economic policy of another member state hence becoming the complainant, while the other member state that has allegedly contravened any provision of the WTO regime and treaty commitments acts as the defendant. However, unlike other dispute settlement mechanisms where the two parties get a decision or reach a conclusion thereby putting an end to the dispute, the same doesn’t work similarly in the WTO regime. </w:t>
      </w:r>
    </w:p>
    <w:p w:rsidR="00A04870" w:rsidRPr="00A04870" w:rsidRDefault="00A04870" w:rsidP="00A04870">
      <w:pPr>
        <w:pStyle w:val="Heading3"/>
        <w:spacing w:line="360" w:lineRule="auto"/>
        <w:jc w:val="both"/>
        <w:rPr>
          <w:b/>
          <w:i w:val="0"/>
          <w:smallCaps w:val="0"/>
          <w:szCs w:val="24"/>
        </w:rPr>
      </w:pPr>
      <w:r w:rsidRPr="00A04870">
        <w:rPr>
          <w:i w:val="0"/>
          <w:smallCaps w:val="0"/>
          <w:szCs w:val="24"/>
        </w:rPr>
        <w:t xml:space="preserve">WTO works on a multilateral cooperation between economies and non-discriminatory treatments is a substantial cornerstone of the same, therefore, along with the defendant(s) many other countries have a substantial interest in a dispute and the outcome of the same and thereby join as third parties, the same is usually done to influence and monitor the proceedings. These third parties, mostly, outnumber the original parties as well. This participation in the proceedings has a two-fold purpose; firstly to protect the substantial economic interest of themselves and secondly as a mechanism of diplomatic dialogue and to piggy ride on the benefits being acquired by the parties to the dispute. </w:t>
      </w:r>
    </w:p>
    <w:p w:rsidR="00A04870" w:rsidRDefault="00A04870" w:rsidP="00A04870">
      <w:pPr>
        <w:spacing w:line="360" w:lineRule="auto"/>
        <w:jc w:val="both"/>
        <w:rPr>
          <w:rFonts w:ascii="Times New Roman" w:hAnsi="Times New Roman" w:cs="Times New Roman"/>
          <w:sz w:val="24"/>
          <w:szCs w:val="24"/>
        </w:rPr>
      </w:pPr>
      <w:r w:rsidRPr="00A04870">
        <w:rPr>
          <w:rFonts w:ascii="Times New Roman" w:hAnsi="Times New Roman" w:cs="Times New Roman"/>
          <w:sz w:val="24"/>
          <w:szCs w:val="24"/>
        </w:rPr>
        <w:t xml:space="preserve">This third party participation is of critical importance to the WTO function, as a matter of fact, WTO members indulge into reciprocal commitments and obligations and this can be done fairly only by adhering to the principle of non discrimination. By third party intervention, these participants prevent the parties to the dispute to enter into any under hand dealings and discriminate against other members and thereby maintain the equilibrium. </w:t>
      </w:r>
    </w:p>
    <w:p w:rsidR="00A04870" w:rsidRDefault="00A04870" w:rsidP="00A04870">
      <w:pPr>
        <w:spacing w:line="360" w:lineRule="auto"/>
        <w:jc w:val="both"/>
        <w:rPr>
          <w:rFonts w:ascii="Times New Roman" w:hAnsi="Times New Roman" w:cs="Times New Roman"/>
          <w:sz w:val="24"/>
          <w:szCs w:val="24"/>
        </w:rPr>
      </w:pPr>
      <w:r w:rsidRPr="00A04870">
        <w:rPr>
          <w:rFonts w:ascii="Times New Roman" w:hAnsi="Times New Roman" w:cs="Times New Roman"/>
          <w:sz w:val="24"/>
          <w:szCs w:val="24"/>
        </w:rPr>
        <w:t>Accordingly, some observers insist that the role of third parties should be amplified, contending that they give WTO judicial bodies a broader perspective that results in verdicts reflecting the wider interests of the membership as a whole.</w:t>
      </w:r>
      <w:r w:rsidRPr="00A04870">
        <w:rPr>
          <w:rStyle w:val="FootnoteReference"/>
          <w:rFonts w:ascii="Times New Roman" w:hAnsi="Times New Roman" w:cs="Times New Roman"/>
          <w:sz w:val="24"/>
          <w:szCs w:val="24"/>
        </w:rPr>
        <w:footnoteReference w:id="2"/>
      </w:r>
      <w:r w:rsidRPr="00A04870">
        <w:rPr>
          <w:rFonts w:ascii="Times New Roman" w:hAnsi="Times New Roman" w:cs="Times New Roman"/>
          <w:sz w:val="24"/>
          <w:szCs w:val="24"/>
        </w:rPr>
        <w:t xml:space="preserve"> While some of the scholars </w:t>
      </w:r>
      <w:r w:rsidRPr="00A04870">
        <w:rPr>
          <w:rFonts w:ascii="Times New Roman" w:hAnsi="Times New Roman" w:cs="Times New Roman"/>
          <w:sz w:val="24"/>
          <w:szCs w:val="24"/>
        </w:rPr>
        <w:lastRenderedPageBreak/>
        <w:t>argue that third parties further complicate and delay the dispute settlement, making it more costly.</w:t>
      </w:r>
      <w:r w:rsidRPr="00A04870">
        <w:rPr>
          <w:rStyle w:val="FootnoteReference"/>
          <w:rFonts w:ascii="Times New Roman" w:hAnsi="Times New Roman" w:cs="Times New Roman"/>
          <w:sz w:val="24"/>
          <w:szCs w:val="24"/>
        </w:rPr>
        <w:footnoteReference w:id="3"/>
      </w:r>
      <w:r w:rsidRPr="00A04870">
        <w:rPr>
          <w:rFonts w:ascii="Times New Roman" w:hAnsi="Times New Roman" w:cs="Times New Roman"/>
          <w:sz w:val="24"/>
          <w:szCs w:val="24"/>
        </w:rPr>
        <w:t xml:space="preserve"> Almost every research on the judicial decision making reflects that third parties intervention affect verdicts,</w:t>
      </w:r>
      <w:r w:rsidRPr="00A04870">
        <w:rPr>
          <w:rStyle w:val="FootnoteReference"/>
          <w:rFonts w:ascii="Times New Roman" w:hAnsi="Times New Roman" w:cs="Times New Roman"/>
          <w:sz w:val="24"/>
          <w:szCs w:val="24"/>
        </w:rPr>
        <w:footnoteReference w:id="4"/>
      </w:r>
      <w:r w:rsidRPr="00A04870">
        <w:rPr>
          <w:rFonts w:ascii="Times New Roman" w:hAnsi="Times New Roman" w:cs="Times New Roman"/>
          <w:sz w:val="24"/>
          <w:szCs w:val="24"/>
        </w:rPr>
        <w:t xml:space="preserve"> on the same line, many scholars argue that the WTO judicial bodies carefully weigh third-party testimony in deciding a case.</w:t>
      </w:r>
      <w:r w:rsidRPr="00A04870">
        <w:rPr>
          <w:rStyle w:val="FootnoteReference"/>
          <w:rFonts w:ascii="Times New Roman" w:hAnsi="Times New Roman" w:cs="Times New Roman"/>
          <w:sz w:val="24"/>
          <w:szCs w:val="24"/>
        </w:rPr>
        <w:footnoteReference w:id="5"/>
      </w:r>
      <w:r w:rsidRPr="00A04870">
        <w:rPr>
          <w:rFonts w:ascii="Times New Roman" w:hAnsi="Times New Roman" w:cs="Times New Roman"/>
          <w:sz w:val="24"/>
          <w:szCs w:val="24"/>
        </w:rPr>
        <w:t xml:space="preserve"> </w:t>
      </w:r>
    </w:p>
    <w:p w:rsidR="00A04870" w:rsidRPr="00A04870" w:rsidRDefault="00A04870" w:rsidP="00A04870">
      <w:pPr>
        <w:spacing w:line="360" w:lineRule="auto"/>
        <w:jc w:val="both"/>
        <w:rPr>
          <w:rFonts w:ascii="Times New Roman" w:hAnsi="Times New Roman" w:cs="Times New Roman"/>
          <w:sz w:val="24"/>
          <w:szCs w:val="24"/>
        </w:rPr>
      </w:pPr>
      <w:r w:rsidRPr="00A04870">
        <w:rPr>
          <w:rFonts w:ascii="Times New Roman" w:hAnsi="Times New Roman" w:cs="Times New Roman"/>
          <w:sz w:val="24"/>
          <w:szCs w:val="24"/>
        </w:rPr>
        <w:t>Third party intervention not only influence the strategy in rendering a legal verdict of the judicial body but also influence the negotiations even before a ruling is issued. As Stasavage opined, third parties have a tendency to prompt the negotiating parties to a dispute to posture and make them reluctant to retreat from original position even when a deal may otherwise be reached prior to ruling.</w:t>
      </w:r>
      <w:r w:rsidRPr="00A04870">
        <w:rPr>
          <w:rStyle w:val="FootnoteReference"/>
          <w:rFonts w:ascii="Times New Roman" w:hAnsi="Times New Roman" w:cs="Times New Roman"/>
          <w:sz w:val="24"/>
          <w:szCs w:val="24"/>
        </w:rPr>
        <w:footnoteReference w:id="6"/>
      </w:r>
    </w:p>
    <w:p w:rsidR="00A04870" w:rsidRPr="00A04870" w:rsidRDefault="00A04870" w:rsidP="00A04870">
      <w:pPr>
        <w:spacing w:line="360" w:lineRule="auto"/>
        <w:jc w:val="both"/>
        <w:rPr>
          <w:rFonts w:ascii="Times New Roman" w:hAnsi="Times New Roman" w:cs="Times New Roman"/>
          <w:sz w:val="24"/>
          <w:szCs w:val="24"/>
        </w:rPr>
      </w:pPr>
      <w:r w:rsidRPr="00A04870">
        <w:rPr>
          <w:rFonts w:ascii="Times New Roman" w:hAnsi="Times New Roman" w:cs="Times New Roman"/>
          <w:sz w:val="24"/>
          <w:szCs w:val="24"/>
        </w:rPr>
        <w:t>It can therefore be well contemplated that by increasing the stakes of the pretrial negotiations, third parties state significantly reduce the situation of early settlement in the form of a trade liberalizing regime negotiation prior to WTO ruling.</w:t>
      </w:r>
      <w:r w:rsidRPr="00A04870">
        <w:rPr>
          <w:rStyle w:val="FootnoteReference"/>
          <w:rFonts w:ascii="Times New Roman" w:hAnsi="Times New Roman" w:cs="Times New Roman"/>
          <w:sz w:val="24"/>
          <w:szCs w:val="24"/>
        </w:rPr>
        <w:footnoteReference w:id="7"/>
      </w:r>
      <w:r w:rsidRPr="00A04870">
        <w:rPr>
          <w:rFonts w:ascii="Times New Roman" w:hAnsi="Times New Roman" w:cs="Times New Roman"/>
          <w:sz w:val="24"/>
          <w:szCs w:val="24"/>
        </w:rPr>
        <w:t xml:space="preserve"> It is well established that political pressure plays a significant role in judicial pronouncements in any international judicial decision making and therefore the role of third participants in WTO dispute settlement is of utmost importance.</w:t>
      </w:r>
      <w:r w:rsidRPr="00A04870">
        <w:rPr>
          <w:rStyle w:val="FootnoteReference"/>
          <w:rFonts w:ascii="Times New Roman" w:hAnsi="Times New Roman" w:cs="Times New Roman"/>
          <w:sz w:val="24"/>
          <w:szCs w:val="24"/>
        </w:rPr>
        <w:footnoteReference w:id="8"/>
      </w:r>
    </w:p>
    <w:p w:rsidR="00A04870" w:rsidRPr="00A04870" w:rsidRDefault="00A04870" w:rsidP="00A04870">
      <w:pPr>
        <w:spacing w:line="360" w:lineRule="auto"/>
        <w:jc w:val="both"/>
        <w:rPr>
          <w:rFonts w:ascii="Times New Roman" w:hAnsi="Times New Roman" w:cs="Times New Roman"/>
          <w:sz w:val="24"/>
          <w:szCs w:val="24"/>
        </w:rPr>
      </w:pPr>
      <w:r w:rsidRPr="00A04870">
        <w:rPr>
          <w:rFonts w:ascii="Times New Roman" w:hAnsi="Times New Roman" w:cs="Times New Roman"/>
          <w:sz w:val="24"/>
          <w:szCs w:val="24"/>
        </w:rPr>
        <w:lastRenderedPageBreak/>
        <w:t xml:space="preserve">This article concerns itself with the participation of India as a third participant during the year 2014-16, the pattern of participation of India and the economical and diplomatic significance of the same. </w:t>
      </w:r>
    </w:p>
    <w:p w:rsidR="00A04870" w:rsidRDefault="00A04870" w:rsidP="00A04870">
      <w:pPr>
        <w:spacing w:line="360" w:lineRule="auto"/>
        <w:jc w:val="both"/>
        <w:rPr>
          <w:rFonts w:ascii="Times New Roman" w:hAnsi="Times New Roman" w:cs="Times New Roman"/>
          <w:sz w:val="24"/>
          <w:szCs w:val="24"/>
        </w:rPr>
      </w:pPr>
      <w:r w:rsidRPr="00A04870">
        <w:rPr>
          <w:rFonts w:ascii="Times New Roman" w:hAnsi="Times New Roman" w:cs="Times New Roman"/>
          <w:sz w:val="24"/>
          <w:szCs w:val="24"/>
        </w:rPr>
        <w:t xml:space="preserve">The WTO process for dispute settlement initiates with a request for consultation in which both the parties put forth their objections and contentions, thereby the parties are expected to negotiate and approach a mutual solution. Most of the cases are resolved during this stafe only however the others proceed to constitution of an ad hoc tribunal, which the WTO refers to as the “panel”. </w:t>
      </w:r>
    </w:p>
    <w:p w:rsidR="00A04870" w:rsidRPr="00A04870" w:rsidRDefault="00A04870" w:rsidP="00A04870">
      <w:pPr>
        <w:spacing w:line="360" w:lineRule="auto"/>
        <w:jc w:val="both"/>
        <w:rPr>
          <w:rFonts w:ascii="Times New Roman" w:hAnsi="Times New Roman" w:cs="Times New Roman"/>
          <w:sz w:val="24"/>
          <w:szCs w:val="24"/>
        </w:rPr>
      </w:pPr>
      <w:r w:rsidRPr="00A04870">
        <w:rPr>
          <w:rFonts w:ascii="Times New Roman" w:hAnsi="Times New Roman" w:cs="Times New Roman"/>
          <w:sz w:val="24"/>
          <w:szCs w:val="24"/>
        </w:rPr>
        <w:t>Typically, there are two stages of testimony, where the parties can still negotiate a settlement prior to the decision. Only 1/3</w:t>
      </w:r>
      <w:r w:rsidRPr="00A04870">
        <w:rPr>
          <w:rFonts w:ascii="Times New Roman" w:hAnsi="Times New Roman" w:cs="Times New Roman"/>
          <w:sz w:val="24"/>
          <w:szCs w:val="24"/>
          <w:vertAlign w:val="superscript"/>
        </w:rPr>
        <w:t>rd</w:t>
      </w:r>
      <w:r w:rsidRPr="00A04870">
        <w:rPr>
          <w:rFonts w:ascii="Times New Roman" w:hAnsi="Times New Roman" w:cs="Times New Roman"/>
          <w:sz w:val="24"/>
          <w:szCs w:val="24"/>
        </w:rPr>
        <w:t xml:space="preserve"> of the WTO cases approach the way to a legal verdict and if not withdrawn or resolved, the panel issue final report which can further be appealed by both the sides, then going to the Appellate Body level, the conclusion of the dispute is then made by adoption of the reports and giving binding legal effect. </w:t>
      </w:r>
    </w:p>
    <w:p w:rsidR="00A04870" w:rsidRDefault="00A04870" w:rsidP="00A04870">
      <w:pPr>
        <w:spacing w:line="360" w:lineRule="auto"/>
        <w:jc w:val="both"/>
        <w:rPr>
          <w:rFonts w:ascii="Times New Roman" w:hAnsi="Times New Roman" w:cs="Times New Roman"/>
          <w:sz w:val="24"/>
          <w:szCs w:val="24"/>
        </w:rPr>
      </w:pPr>
      <w:r w:rsidRPr="00A04870">
        <w:rPr>
          <w:rFonts w:ascii="Times New Roman" w:hAnsi="Times New Roman" w:cs="Times New Roman"/>
          <w:sz w:val="24"/>
          <w:szCs w:val="24"/>
        </w:rPr>
        <w:t xml:space="preserve">Article 10 of the WTO’s Dispute Settlement Understanding (DSU) allowed third party states to submit written or oral testimony before panels during the first round and to receive submission of the main parties, which is otherwise confidential to outside non participants. If there is an appeal, then Article 17 of the DSU provides rights at the Appellate Body stage. </w:t>
      </w:r>
    </w:p>
    <w:p w:rsidR="00A04870" w:rsidRPr="00A04870" w:rsidRDefault="00A04870" w:rsidP="00A04870">
      <w:pPr>
        <w:spacing w:line="360" w:lineRule="auto"/>
        <w:jc w:val="both"/>
        <w:rPr>
          <w:rFonts w:ascii="Times New Roman" w:hAnsi="Times New Roman" w:cs="Times New Roman"/>
          <w:sz w:val="24"/>
          <w:szCs w:val="24"/>
        </w:rPr>
      </w:pPr>
      <w:r w:rsidRPr="00A04870">
        <w:rPr>
          <w:rFonts w:ascii="Times New Roman" w:hAnsi="Times New Roman" w:cs="Times New Roman"/>
          <w:sz w:val="24"/>
          <w:szCs w:val="24"/>
        </w:rPr>
        <w:t>Article 4.11 if the DSU stipulated that members that wish to join in consultation must have some “substantial trade interest” in the matter, members can also claim a “systematic interest” in a dispute that is the formalizing concerns for the interpretation of agreement or legislation of WTO laws.</w:t>
      </w:r>
    </w:p>
    <w:p w:rsidR="00A04870" w:rsidRPr="00A04870" w:rsidRDefault="00A04870" w:rsidP="00A04870">
      <w:pPr>
        <w:spacing w:line="360" w:lineRule="auto"/>
        <w:jc w:val="both"/>
        <w:rPr>
          <w:rFonts w:ascii="Times New Roman" w:hAnsi="Times New Roman" w:cs="Times New Roman"/>
          <w:sz w:val="24"/>
          <w:szCs w:val="24"/>
        </w:rPr>
      </w:pPr>
      <w:r w:rsidRPr="00A04870">
        <w:rPr>
          <w:rFonts w:ascii="Times New Roman" w:hAnsi="Times New Roman" w:cs="Times New Roman"/>
          <w:sz w:val="24"/>
          <w:szCs w:val="24"/>
        </w:rPr>
        <w:t xml:space="preserve">If consultation fails, then Article 10.2 formulates third party intervention before a panel and the criteria is “substantial interest” rather “substantial trade interest”.  </w:t>
      </w:r>
    </w:p>
    <w:p w:rsidR="00A04870" w:rsidRPr="00A04870" w:rsidRDefault="00A04870" w:rsidP="00A04870">
      <w:pPr>
        <w:spacing w:line="360" w:lineRule="auto"/>
        <w:jc w:val="both"/>
        <w:rPr>
          <w:rFonts w:ascii="Times New Roman" w:hAnsi="Times New Roman" w:cs="Times New Roman"/>
          <w:sz w:val="24"/>
          <w:szCs w:val="24"/>
        </w:rPr>
      </w:pPr>
      <w:r w:rsidRPr="00A04870">
        <w:rPr>
          <w:rFonts w:ascii="Times New Roman" w:hAnsi="Times New Roman" w:cs="Times New Roman"/>
          <w:sz w:val="24"/>
          <w:szCs w:val="24"/>
        </w:rPr>
        <w:t xml:space="preserve">Chad Bown’s empirical work finds that </w:t>
      </w:r>
    </w:p>
    <w:p w:rsidR="00A04870" w:rsidRPr="00A04870" w:rsidRDefault="00A04870" w:rsidP="00A04870">
      <w:pPr>
        <w:pStyle w:val="ListParagraph"/>
        <w:numPr>
          <w:ilvl w:val="0"/>
          <w:numId w:val="13"/>
        </w:numPr>
        <w:spacing w:before="120" w:after="120" w:line="360" w:lineRule="auto"/>
        <w:jc w:val="both"/>
        <w:rPr>
          <w:rFonts w:ascii="Times New Roman" w:hAnsi="Times New Roman" w:cs="Times New Roman"/>
          <w:sz w:val="24"/>
          <w:szCs w:val="24"/>
        </w:rPr>
      </w:pPr>
      <w:r w:rsidRPr="00A04870">
        <w:rPr>
          <w:rFonts w:ascii="Times New Roman" w:hAnsi="Times New Roman" w:cs="Times New Roman"/>
          <w:sz w:val="24"/>
          <w:szCs w:val="24"/>
        </w:rPr>
        <w:t xml:space="preserve">Countries having large exports which is directly and significantly affected by the policy in dispute are more likely to become co-complainants. </w:t>
      </w:r>
    </w:p>
    <w:p w:rsidR="00A04870" w:rsidRPr="00A04870" w:rsidRDefault="00A04870" w:rsidP="00A04870">
      <w:pPr>
        <w:pStyle w:val="ListParagraph"/>
        <w:numPr>
          <w:ilvl w:val="0"/>
          <w:numId w:val="13"/>
        </w:numPr>
        <w:spacing w:before="120" w:after="120" w:line="360" w:lineRule="auto"/>
        <w:jc w:val="both"/>
        <w:rPr>
          <w:rFonts w:ascii="Times New Roman" w:hAnsi="Times New Roman" w:cs="Times New Roman"/>
          <w:sz w:val="24"/>
          <w:szCs w:val="24"/>
        </w:rPr>
      </w:pPr>
      <w:r w:rsidRPr="00A04870">
        <w:rPr>
          <w:rFonts w:ascii="Times New Roman" w:hAnsi="Times New Roman" w:cs="Times New Roman"/>
          <w:sz w:val="24"/>
          <w:szCs w:val="24"/>
        </w:rPr>
        <w:t xml:space="preserve">Countries with moderate exports in the market that is disputed and are not directly affected by the policy are likely to become third parties. </w:t>
      </w:r>
    </w:p>
    <w:p w:rsidR="00A04870" w:rsidRPr="00A04870" w:rsidRDefault="00A04870" w:rsidP="00A04870">
      <w:pPr>
        <w:pStyle w:val="ListParagraph"/>
        <w:numPr>
          <w:ilvl w:val="0"/>
          <w:numId w:val="13"/>
        </w:numPr>
        <w:spacing w:before="120" w:after="120" w:line="360" w:lineRule="auto"/>
        <w:jc w:val="both"/>
        <w:rPr>
          <w:rFonts w:ascii="Times New Roman" w:hAnsi="Times New Roman" w:cs="Times New Roman"/>
          <w:sz w:val="24"/>
          <w:szCs w:val="24"/>
        </w:rPr>
      </w:pPr>
      <w:r w:rsidRPr="00A04870">
        <w:rPr>
          <w:rFonts w:ascii="Times New Roman" w:hAnsi="Times New Roman" w:cs="Times New Roman"/>
          <w:sz w:val="24"/>
          <w:szCs w:val="24"/>
        </w:rPr>
        <w:lastRenderedPageBreak/>
        <w:t>Countries that are small, poorer, dependant of foreign aid or trade agreements are least likely to be a part at all.</w:t>
      </w:r>
      <w:r w:rsidRPr="00A04870">
        <w:rPr>
          <w:rStyle w:val="FootnoteReference"/>
          <w:rFonts w:ascii="Times New Roman" w:hAnsi="Times New Roman" w:cs="Times New Roman"/>
          <w:sz w:val="24"/>
          <w:szCs w:val="24"/>
        </w:rPr>
        <w:footnoteReference w:id="9"/>
      </w:r>
    </w:p>
    <w:p w:rsidR="00A04870" w:rsidRPr="00A04870" w:rsidRDefault="00A04870" w:rsidP="00A04870">
      <w:pPr>
        <w:spacing w:line="360" w:lineRule="auto"/>
        <w:jc w:val="both"/>
        <w:rPr>
          <w:rFonts w:ascii="Times New Roman" w:hAnsi="Times New Roman" w:cs="Times New Roman"/>
          <w:sz w:val="24"/>
          <w:szCs w:val="24"/>
        </w:rPr>
      </w:pPr>
      <w:r w:rsidRPr="00A04870">
        <w:rPr>
          <w:rFonts w:ascii="Times New Roman" w:hAnsi="Times New Roman" w:cs="Times New Roman"/>
          <w:sz w:val="24"/>
          <w:szCs w:val="24"/>
        </w:rPr>
        <w:t xml:space="preserve">India has been a founding member of both General Agreement on Tariffs and Trade (GATT) and WTO and adhered to the rules and guidelines in the sphere of International Trade. In a time when most of the developing nations were reluctant to approach the Dispute Settlement Body (DSB) for ascertaining the rights and economical sanctions due to the lack of technical and legal competence and the expenses involved, India since the very inception was an active participant and user of the DSU at both WTO and the GATT. </w:t>
      </w:r>
    </w:p>
    <w:p w:rsidR="00A04870" w:rsidRPr="00A04870" w:rsidRDefault="00A04870" w:rsidP="00A04870">
      <w:pPr>
        <w:spacing w:line="360" w:lineRule="auto"/>
        <w:jc w:val="both"/>
        <w:rPr>
          <w:rFonts w:ascii="Times New Roman" w:hAnsi="Times New Roman" w:cs="Times New Roman"/>
          <w:sz w:val="24"/>
          <w:szCs w:val="24"/>
        </w:rPr>
      </w:pPr>
      <w:r w:rsidRPr="00A04870">
        <w:rPr>
          <w:rFonts w:ascii="Times New Roman" w:hAnsi="Times New Roman" w:cs="Times New Roman"/>
          <w:sz w:val="24"/>
          <w:szCs w:val="24"/>
        </w:rPr>
        <w:t xml:space="preserve">India filed its first complaint in 1948 in the famous </w:t>
      </w:r>
      <w:r w:rsidRPr="00A04870">
        <w:rPr>
          <w:rFonts w:ascii="Times New Roman" w:hAnsi="Times New Roman" w:cs="Times New Roman"/>
          <w:i/>
          <w:sz w:val="24"/>
          <w:szCs w:val="24"/>
        </w:rPr>
        <w:t>India-Tax Rebates</w:t>
      </w:r>
      <w:r w:rsidRPr="00A04870">
        <w:rPr>
          <w:rFonts w:ascii="Times New Roman" w:hAnsi="Times New Roman" w:cs="Times New Roman"/>
          <w:sz w:val="24"/>
          <w:szCs w:val="24"/>
        </w:rPr>
        <w:t xml:space="preserve"> case. India as a third party is one of the most active developing nation of the WTO.  </w:t>
      </w:r>
    </w:p>
    <w:p w:rsidR="00A04870" w:rsidRPr="00A04870" w:rsidRDefault="00A04870" w:rsidP="00A04870">
      <w:pPr>
        <w:spacing w:line="360" w:lineRule="auto"/>
        <w:jc w:val="both"/>
        <w:rPr>
          <w:rFonts w:ascii="Times New Roman" w:hAnsi="Times New Roman" w:cs="Times New Roman"/>
          <w:sz w:val="24"/>
          <w:szCs w:val="24"/>
        </w:rPr>
      </w:pPr>
      <w:r w:rsidRPr="00A04870">
        <w:rPr>
          <w:rFonts w:ascii="Times New Roman" w:hAnsi="Times New Roman" w:cs="Times New Roman"/>
          <w:sz w:val="24"/>
          <w:szCs w:val="24"/>
        </w:rPr>
        <w:t>In this article, an analytical study has been done about India’s participation as a third participant in the Dispute Settlement under the WTO over the year 2014-16. For a better understanding, a comparative analysis of China and Brazil’s participation during the past three years was also done.</w:t>
      </w:r>
    </w:p>
    <w:p w:rsidR="00A04870" w:rsidRPr="00A04870" w:rsidRDefault="00A04870" w:rsidP="00A04870">
      <w:pPr>
        <w:spacing w:line="360" w:lineRule="auto"/>
        <w:jc w:val="both"/>
        <w:rPr>
          <w:rFonts w:ascii="Times New Roman" w:hAnsi="Times New Roman" w:cs="Times New Roman"/>
          <w:i/>
          <w:sz w:val="24"/>
          <w:szCs w:val="24"/>
        </w:rPr>
      </w:pPr>
      <w:r w:rsidRPr="00A04870">
        <w:rPr>
          <w:rFonts w:ascii="Times New Roman" w:hAnsi="Times New Roman" w:cs="Times New Roman"/>
          <w:i/>
          <w:sz w:val="24"/>
          <w:szCs w:val="24"/>
        </w:rPr>
        <w:t>The data has been retrieved from the official website of WTO; may access here: https://www.wto.org/english/tratop_e/dispu_e/dispu_by_country_e.htm</w:t>
      </w:r>
    </w:p>
    <w:p w:rsidR="00A04870" w:rsidRDefault="00A04870" w:rsidP="00A04870">
      <w:pPr>
        <w:spacing w:line="360" w:lineRule="auto"/>
        <w:jc w:val="both"/>
        <w:rPr>
          <w:rFonts w:ascii="Times New Roman" w:hAnsi="Times New Roman" w:cs="Times New Roman"/>
          <w:sz w:val="24"/>
          <w:szCs w:val="24"/>
        </w:rPr>
      </w:pPr>
      <w:r w:rsidRPr="00A04870">
        <w:rPr>
          <w:rFonts w:ascii="Times New Roman" w:hAnsi="Times New Roman" w:cs="Times New Roman"/>
          <w:sz w:val="24"/>
          <w:szCs w:val="24"/>
        </w:rPr>
        <w:t xml:space="preserve">It was observed that during the above mentioned years, Brazil was a third party to 47 cases, out of which 14 reached beyond the consultation and constitution of panel stage and Brazil made significant written submission to all of the disputes, making significant legal as well as economical comments therein. On the other hand, China was a third party to 42 disputes during the above mentioned years out of which 19 reached the adjudications stage, china made significant oral or written submission to 12 of the matters. </w:t>
      </w:r>
    </w:p>
    <w:p w:rsidR="00A04870" w:rsidRPr="00A04870" w:rsidRDefault="00A04870" w:rsidP="00A04870">
      <w:pPr>
        <w:spacing w:line="360" w:lineRule="auto"/>
        <w:jc w:val="both"/>
        <w:rPr>
          <w:rFonts w:ascii="Times New Roman" w:hAnsi="Times New Roman" w:cs="Times New Roman"/>
          <w:sz w:val="24"/>
          <w:szCs w:val="24"/>
        </w:rPr>
      </w:pPr>
      <w:r w:rsidRPr="00A04870">
        <w:rPr>
          <w:rFonts w:ascii="Times New Roman" w:hAnsi="Times New Roman" w:cs="Times New Roman"/>
          <w:sz w:val="24"/>
          <w:szCs w:val="24"/>
        </w:rPr>
        <w:t xml:space="preserve">On the contrary, India participated in a total of 47 cases, of which 24 cases went beyond the consultation and constitution of panel stage. However, of these 24 cases, India made written or oral submission to only 5 cases; despite the fact that it was observed that Brazil, India &amp; China were parties to the same disputes, the participation of the three was significantly difference. The question that arises is regarding the factor that affect a country’s participation and indulgence in these practices, is it only the economical interests or also diplomatic relations that governs the participation of a state as a third party in WTO settlement process. </w:t>
      </w:r>
    </w:p>
    <w:p w:rsidR="00A04870" w:rsidRPr="00A04870" w:rsidRDefault="00A04870" w:rsidP="00A04870">
      <w:pPr>
        <w:spacing w:line="360" w:lineRule="auto"/>
        <w:jc w:val="both"/>
        <w:rPr>
          <w:rFonts w:ascii="Times New Roman" w:hAnsi="Times New Roman" w:cs="Times New Roman"/>
          <w:sz w:val="24"/>
          <w:szCs w:val="24"/>
        </w:rPr>
      </w:pPr>
      <w:r w:rsidRPr="00A04870">
        <w:rPr>
          <w:rFonts w:ascii="Times New Roman" w:hAnsi="Times New Roman" w:cs="Times New Roman"/>
          <w:sz w:val="24"/>
          <w:szCs w:val="24"/>
        </w:rPr>
        <w:lastRenderedPageBreak/>
        <w:t xml:space="preserve">To understand the same, a detailed study of the 5 cases, in which India made written or oral submission, is done here which may show a clearer picture as to the background of possibilities of India’s intervention. </w:t>
      </w:r>
    </w:p>
    <w:p w:rsidR="00A04870" w:rsidRPr="00A04870" w:rsidRDefault="00A04870" w:rsidP="00A04870">
      <w:pPr>
        <w:spacing w:line="360" w:lineRule="auto"/>
        <w:jc w:val="both"/>
        <w:rPr>
          <w:rFonts w:ascii="Times New Roman" w:hAnsi="Times New Roman" w:cs="Times New Roman"/>
          <w:sz w:val="24"/>
          <w:szCs w:val="24"/>
        </w:rPr>
      </w:pPr>
      <w:r w:rsidRPr="00A04870">
        <w:rPr>
          <w:rFonts w:ascii="Times New Roman" w:hAnsi="Times New Roman" w:cs="Times New Roman"/>
          <w:sz w:val="24"/>
          <w:szCs w:val="24"/>
        </w:rPr>
        <w:t xml:space="preserve">The first case was, United </w:t>
      </w:r>
      <w:r w:rsidRPr="00A04870">
        <w:rPr>
          <w:rFonts w:ascii="Times New Roman" w:hAnsi="Times New Roman" w:cs="Times New Roman"/>
          <w:i/>
          <w:sz w:val="24"/>
          <w:szCs w:val="24"/>
        </w:rPr>
        <w:t xml:space="preserve">States — Countervailing Duty Measures on Certain Products from China </w:t>
      </w:r>
      <w:r w:rsidRPr="00A04870">
        <w:rPr>
          <w:rFonts w:ascii="Times New Roman" w:hAnsi="Times New Roman" w:cs="Times New Roman"/>
          <w:sz w:val="24"/>
          <w:szCs w:val="24"/>
        </w:rPr>
        <w:t xml:space="preserve">– DS 437, on July 14,2014, the WTO panel issued two reports in cases </w:t>
      </w:r>
      <w:r w:rsidRPr="00A04870">
        <w:rPr>
          <w:rFonts w:ascii="Times New Roman" w:hAnsi="Times New Roman" w:cs="Times New Roman"/>
          <w:i/>
          <w:sz w:val="24"/>
          <w:szCs w:val="24"/>
        </w:rPr>
        <w:t xml:space="preserve">United States – Countervailing Duty Measures on Certain Products from China &amp; United States – Countervailing Measures on Certain Hot-Rolled Carbon Steel Flat Products from India. </w:t>
      </w:r>
      <w:r w:rsidRPr="00A04870">
        <w:rPr>
          <w:rFonts w:ascii="Times New Roman" w:hAnsi="Times New Roman" w:cs="Times New Roman"/>
          <w:sz w:val="24"/>
          <w:szCs w:val="24"/>
        </w:rPr>
        <w:t xml:space="preserve">The case was regarding unregulated and violative imposition of countervailing duties on certain products being exported by the India &amp; China. It is pertinent to note that in the dispute between China &amp; US, India acted as a third party and in the dispute between India &amp; US, China acted as a third party participant and made substantial claims regarding the same. </w:t>
      </w:r>
    </w:p>
    <w:p w:rsidR="00A04870" w:rsidRPr="00A04870" w:rsidRDefault="00A04870" w:rsidP="00A04870">
      <w:pPr>
        <w:spacing w:line="360" w:lineRule="auto"/>
        <w:jc w:val="both"/>
        <w:rPr>
          <w:rFonts w:ascii="Times New Roman" w:hAnsi="Times New Roman" w:cs="Times New Roman"/>
          <w:sz w:val="24"/>
          <w:szCs w:val="24"/>
        </w:rPr>
      </w:pPr>
      <w:r w:rsidRPr="00A04870">
        <w:rPr>
          <w:rFonts w:ascii="Times New Roman" w:hAnsi="Times New Roman" w:cs="Times New Roman"/>
          <w:sz w:val="24"/>
          <w:szCs w:val="24"/>
        </w:rPr>
        <w:t xml:space="preserve">India contended to have systematic interest in the issues raised by China in the issue and intervened to provide view for the proper interpretation and application of the SCM agreement. India’s arguments were regarding the term “public body” and the use of “adverse facts available” standard used by the United States. The panel considered the arguments and a decision was rendered by the panel in favor of China. </w:t>
      </w:r>
    </w:p>
    <w:p w:rsidR="00A04870" w:rsidRDefault="00A04870" w:rsidP="00A04870">
      <w:pPr>
        <w:spacing w:line="360" w:lineRule="auto"/>
        <w:jc w:val="both"/>
        <w:rPr>
          <w:rFonts w:ascii="Times New Roman" w:hAnsi="Times New Roman" w:cs="Times New Roman"/>
          <w:sz w:val="24"/>
          <w:szCs w:val="24"/>
        </w:rPr>
      </w:pPr>
      <w:r w:rsidRPr="00A04870">
        <w:rPr>
          <w:rFonts w:ascii="Times New Roman" w:hAnsi="Times New Roman" w:cs="Times New Roman"/>
          <w:sz w:val="24"/>
          <w:szCs w:val="24"/>
        </w:rPr>
        <w:t xml:space="preserve">It is to be observed that India had systematic interest in the view that similar issue was being raised by India in a similar case. Moreover, it is well known that one of the major benefit of becoming a third party is to receive the benefits from pre-litigation settlements while not having to bear the cost of litigation, third parties can piggy back the benefits on the cost of complainant’s litigation, becoming third parties provides the right to be a part of the otherwise confidential and private negotiation prior to the litigation process. </w:t>
      </w:r>
    </w:p>
    <w:p w:rsidR="00A04870" w:rsidRPr="00A04870" w:rsidRDefault="00A04870" w:rsidP="00A04870">
      <w:pPr>
        <w:spacing w:line="360" w:lineRule="auto"/>
        <w:jc w:val="both"/>
        <w:rPr>
          <w:rFonts w:ascii="Times New Roman" w:hAnsi="Times New Roman" w:cs="Times New Roman"/>
          <w:sz w:val="24"/>
          <w:szCs w:val="24"/>
        </w:rPr>
      </w:pPr>
      <w:r w:rsidRPr="00A04870">
        <w:rPr>
          <w:rFonts w:ascii="Times New Roman" w:hAnsi="Times New Roman" w:cs="Times New Roman"/>
          <w:sz w:val="24"/>
          <w:szCs w:val="24"/>
        </w:rPr>
        <w:t xml:space="preserve">Another factor is a rather diplomatic stance, if there is no third party intervention; the two parties are likely to approach mutual conciliations and settlements. This is beneficial to the membership, however also creates a risk of discriminatory treatment wherein the parties to the litigation will get some underhanded benefits to the detriment of other member nations. </w:t>
      </w:r>
    </w:p>
    <w:p w:rsidR="00A04870" w:rsidRPr="00A04870" w:rsidRDefault="00A04870" w:rsidP="00A04870">
      <w:pPr>
        <w:spacing w:line="360" w:lineRule="auto"/>
        <w:jc w:val="both"/>
        <w:rPr>
          <w:rFonts w:ascii="Times New Roman" w:hAnsi="Times New Roman" w:cs="Times New Roman"/>
          <w:sz w:val="24"/>
          <w:szCs w:val="24"/>
        </w:rPr>
      </w:pPr>
      <w:r w:rsidRPr="00A04870">
        <w:rPr>
          <w:rFonts w:ascii="Times New Roman" w:hAnsi="Times New Roman" w:cs="Times New Roman"/>
          <w:sz w:val="24"/>
          <w:szCs w:val="24"/>
        </w:rPr>
        <w:t xml:space="preserve">So, in this case, whereby India assured to make its point being heard and supported in front of the panel while at the same time ruled away the possibility of China and US having any private negotiation by participating as a third part. </w:t>
      </w:r>
    </w:p>
    <w:p w:rsidR="00A04870" w:rsidRPr="00A04870" w:rsidRDefault="00A04870" w:rsidP="00A04870">
      <w:pPr>
        <w:spacing w:line="360" w:lineRule="auto"/>
        <w:jc w:val="both"/>
        <w:rPr>
          <w:rFonts w:ascii="Times New Roman" w:hAnsi="Times New Roman" w:cs="Times New Roman"/>
          <w:sz w:val="24"/>
          <w:szCs w:val="24"/>
        </w:rPr>
      </w:pPr>
      <w:r w:rsidRPr="00A04870">
        <w:rPr>
          <w:rFonts w:ascii="Times New Roman" w:hAnsi="Times New Roman" w:cs="Times New Roman"/>
          <w:sz w:val="24"/>
          <w:szCs w:val="24"/>
        </w:rPr>
        <w:lastRenderedPageBreak/>
        <w:t xml:space="preserve">It can therefore safely be presumed that third party intervention is not simply a legal strategy but more of a diplomatic and political intervention by countries to assure the benefit of their economy. </w:t>
      </w:r>
    </w:p>
    <w:p w:rsidR="00A04870" w:rsidRPr="00A04870" w:rsidRDefault="00A04870" w:rsidP="00A04870">
      <w:pPr>
        <w:spacing w:line="360" w:lineRule="auto"/>
        <w:jc w:val="both"/>
        <w:rPr>
          <w:rFonts w:ascii="Times New Roman" w:hAnsi="Times New Roman" w:cs="Times New Roman"/>
          <w:i/>
          <w:sz w:val="24"/>
          <w:szCs w:val="24"/>
        </w:rPr>
      </w:pPr>
      <w:r w:rsidRPr="00A04870">
        <w:rPr>
          <w:rFonts w:ascii="Times New Roman" w:hAnsi="Times New Roman" w:cs="Times New Roman"/>
          <w:sz w:val="24"/>
          <w:szCs w:val="24"/>
        </w:rPr>
        <w:t xml:space="preserve">In the case of </w:t>
      </w:r>
      <w:r w:rsidRPr="00A04870">
        <w:rPr>
          <w:rFonts w:ascii="Times New Roman" w:hAnsi="Times New Roman" w:cs="Times New Roman"/>
          <w:i/>
          <w:sz w:val="24"/>
          <w:szCs w:val="24"/>
        </w:rPr>
        <w:t>United States – Certain Country of Origin Labelling (COOL) Requirements – DS 384</w:t>
      </w:r>
    </w:p>
    <w:p w:rsidR="00A04870" w:rsidRPr="00A04870" w:rsidRDefault="00A04870" w:rsidP="00A04870">
      <w:pPr>
        <w:spacing w:line="360" w:lineRule="auto"/>
        <w:jc w:val="both"/>
        <w:rPr>
          <w:rFonts w:ascii="Times New Roman" w:hAnsi="Times New Roman" w:cs="Times New Roman"/>
          <w:sz w:val="24"/>
          <w:szCs w:val="24"/>
        </w:rPr>
      </w:pPr>
      <w:r w:rsidRPr="00A04870">
        <w:rPr>
          <w:rFonts w:ascii="Times New Roman" w:hAnsi="Times New Roman" w:cs="Times New Roman"/>
          <w:sz w:val="24"/>
          <w:szCs w:val="24"/>
        </w:rPr>
        <w:t xml:space="preserve">India made submission and contended to have systematic interest in the proceedings. India, firstly made significant submission contending that resource constraints, especially in regard to developing countries, should be considered to be “exceptional circumstances” for altering the time-periods and must be considered to be the same in future appeals as well. This way, India paved way for easier accommodation of such request by it in future. </w:t>
      </w:r>
    </w:p>
    <w:p w:rsidR="00A04870" w:rsidRPr="00A04870" w:rsidRDefault="00A04870" w:rsidP="00A04870">
      <w:pPr>
        <w:spacing w:line="360" w:lineRule="auto"/>
        <w:jc w:val="both"/>
        <w:rPr>
          <w:rFonts w:ascii="Times New Roman" w:hAnsi="Times New Roman" w:cs="Times New Roman"/>
          <w:sz w:val="24"/>
          <w:szCs w:val="24"/>
        </w:rPr>
      </w:pPr>
      <w:r w:rsidRPr="00A04870">
        <w:rPr>
          <w:rFonts w:ascii="Times New Roman" w:hAnsi="Times New Roman" w:cs="Times New Roman"/>
          <w:sz w:val="24"/>
          <w:szCs w:val="24"/>
        </w:rPr>
        <w:t xml:space="preserve">Further, India did not take any stand on the factual stance of the country since it was of little to no relevance to Indian market and instead, contested on the issue of Article 21.5 proceedings which was in regard with the scope of a panel request in Article 21.5 proceedings </w:t>
      </w:r>
    </w:p>
    <w:p w:rsidR="00A04870" w:rsidRPr="00A04870" w:rsidRDefault="00A04870" w:rsidP="00A04870">
      <w:pPr>
        <w:spacing w:line="360" w:lineRule="auto"/>
        <w:jc w:val="both"/>
        <w:rPr>
          <w:rFonts w:ascii="Times New Roman" w:hAnsi="Times New Roman" w:cs="Times New Roman"/>
          <w:sz w:val="24"/>
          <w:szCs w:val="24"/>
        </w:rPr>
      </w:pPr>
      <w:r w:rsidRPr="00A04870">
        <w:rPr>
          <w:rFonts w:ascii="Times New Roman" w:hAnsi="Times New Roman" w:cs="Times New Roman"/>
          <w:sz w:val="24"/>
          <w:szCs w:val="24"/>
        </w:rPr>
        <w:t xml:space="preserve">The panel took into view India’s contention that Article 21.5 proceedings should not be limited to evaluation of implementing measure but rather should be extended to a complete consideration of legal and factual backdrop of implementation of the measure as well. </w:t>
      </w:r>
    </w:p>
    <w:p w:rsidR="00A04870" w:rsidRPr="00A04870" w:rsidRDefault="00A04870" w:rsidP="00A04870">
      <w:pPr>
        <w:spacing w:line="360" w:lineRule="auto"/>
        <w:jc w:val="both"/>
        <w:rPr>
          <w:rFonts w:ascii="Times New Roman" w:hAnsi="Times New Roman" w:cs="Times New Roman"/>
          <w:sz w:val="24"/>
          <w:szCs w:val="24"/>
        </w:rPr>
      </w:pPr>
      <w:r w:rsidRPr="00A04870">
        <w:rPr>
          <w:rFonts w:ascii="Times New Roman" w:hAnsi="Times New Roman" w:cs="Times New Roman"/>
          <w:sz w:val="24"/>
          <w:szCs w:val="24"/>
        </w:rPr>
        <w:t xml:space="preserve">It can therefore be noted that despite being a developing nation, India makes it a point to shape the jurisprudential approach of the WTO settlement process, asserting its presence and interest as a global market economy. </w:t>
      </w:r>
    </w:p>
    <w:p w:rsidR="00A04870" w:rsidRPr="00A04870" w:rsidRDefault="00A04870" w:rsidP="00A04870">
      <w:pPr>
        <w:spacing w:line="360" w:lineRule="auto"/>
        <w:jc w:val="both"/>
        <w:rPr>
          <w:rFonts w:ascii="Times New Roman" w:hAnsi="Times New Roman" w:cs="Times New Roman"/>
          <w:i/>
          <w:sz w:val="24"/>
          <w:szCs w:val="24"/>
        </w:rPr>
      </w:pPr>
      <w:r w:rsidRPr="00A04870">
        <w:rPr>
          <w:rFonts w:ascii="Times New Roman" w:hAnsi="Times New Roman" w:cs="Times New Roman"/>
          <w:sz w:val="24"/>
          <w:szCs w:val="24"/>
        </w:rPr>
        <w:t xml:space="preserve">In the case </w:t>
      </w:r>
      <w:r w:rsidRPr="00A04870">
        <w:rPr>
          <w:rFonts w:ascii="Times New Roman" w:hAnsi="Times New Roman" w:cs="Times New Roman"/>
          <w:i/>
          <w:sz w:val="24"/>
          <w:szCs w:val="24"/>
        </w:rPr>
        <w:t>Philippines – Taxes on Distilled Spirits – DS 403</w:t>
      </w:r>
    </w:p>
    <w:p w:rsidR="00A04870" w:rsidRPr="00A04870" w:rsidRDefault="00A04870" w:rsidP="00A04870">
      <w:pPr>
        <w:spacing w:line="360" w:lineRule="auto"/>
        <w:jc w:val="both"/>
        <w:rPr>
          <w:rFonts w:ascii="Times New Roman" w:hAnsi="Times New Roman" w:cs="Times New Roman"/>
          <w:sz w:val="24"/>
          <w:szCs w:val="24"/>
        </w:rPr>
      </w:pPr>
      <w:r w:rsidRPr="00A04870">
        <w:rPr>
          <w:rFonts w:ascii="Times New Roman" w:hAnsi="Times New Roman" w:cs="Times New Roman"/>
          <w:sz w:val="24"/>
          <w:szCs w:val="24"/>
        </w:rPr>
        <w:t>Wherein, the issue in dispute was regarding the excise tax measure of Philippines being inconsistent with principle of national treatment.</w:t>
      </w:r>
      <w:r w:rsidRPr="00A04870">
        <w:rPr>
          <w:rStyle w:val="FootnoteReference"/>
          <w:rFonts w:ascii="Times New Roman" w:hAnsi="Times New Roman" w:cs="Times New Roman"/>
          <w:sz w:val="24"/>
          <w:szCs w:val="24"/>
        </w:rPr>
        <w:footnoteReference w:id="10"/>
      </w:r>
      <w:r w:rsidRPr="00A04870">
        <w:rPr>
          <w:rFonts w:ascii="Times New Roman" w:hAnsi="Times New Roman" w:cs="Times New Roman"/>
          <w:sz w:val="24"/>
          <w:szCs w:val="24"/>
        </w:rPr>
        <w:t xml:space="preserve"> The EU and US argues that it created a hierarchy system of tax levy wherein lower rate of taxation was applied on spirits made from specific raw materials which are produced in Philippines, thereby, giving undue advantage to domestic products while imposing separate taxation on spirits prepared by raw material requirements which were not of Philippine, thereby, violation the principle of national treatment. </w:t>
      </w:r>
    </w:p>
    <w:p w:rsidR="00A04870" w:rsidRDefault="00A04870" w:rsidP="00A04870">
      <w:pPr>
        <w:spacing w:line="360" w:lineRule="auto"/>
        <w:jc w:val="both"/>
        <w:rPr>
          <w:rFonts w:ascii="Times New Roman" w:hAnsi="Times New Roman" w:cs="Times New Roman"/>
          <w:sz w:val="24"/>
          <w:szCs w:val="24"/>
        </w:rPr>
      </w:pPr>
      <w:r w:rsidRPr="00A04870">
        <w:rPr>
          <w:rFonts w:ascii="Times New Roman" w:hAnsi="Times New Roman" w:cs="Times New Roman"/>
          <w:sz w:val="24"/>
          <w:szCs w:val="24"/>
        </w:rPr>
        <w:lastRenderedPageBreak/>
        <w:t xml:space="preserve">India made submission regarding the interpretation of the term “like products” &amp; “directly competitive &amp; substitutable” products. </w:t>
      </w:r>
    </w:p>
    <w:p w:rsidR="00A04870" w:rsidRPr="00A04870" w:rsidRDefault="00A04870" w:rsidP="00A04870">
      <w:pPr>
        <w:spacing w:line="360" w:lineRule="auto"/>
        <w:jc w:val="both"/>
        <w:rPr>
          <w:rFonts w:ascii="Times New Roman" w:hAnsi="Times New Roman" w:cs="Times New Roman"/>
          <w:i/>
          <w:sz w:val="24"/>
          <w:szCs w:val="24"/>
        </w:rPr>
      </w:pPr>
      <w:r w:rsidRPr="00A04870">
        <w:rPr>
          <w:rFonts w:ascii="Times New Roman" w:hAnsi="Times New Roman" w:cs="Times New Roman"/>
          <w:sz w:val="24"/>
          <w:szCs w:val="24"/>
        </w:rPr>
        <w:t>The Indian delegation contended that “</w:t>
      </w:r>
      <w:r w:rsidRPr="00A04870">
        <w:rPr>
          <w:rFonts w:ascii="Times New Roman" w:hAnsi="Times New Roman" w:cs="Times New Roman"/>
          <w:i/>
          <w:sz w:val="24"/>
          <w:szCs w:val="24"/>
        </w:rPr>
        <w:t>we have also a somewhat similar experience as regards classification of India's 'whisky' produced from molasses which is sugar based, when exported to the EU. Whereas the whisky produced and exported by the EU and US is largely malt or cereal based. As in the case of Philippines, the EU has not recognised our molasses based whisky as 'whisky' for the purpose of imports in the EU. The underlying reasons given for non-acceptance of recognition of molasses based 'whisky' as whisky by the EU is on the ground of the raw material used for production. As argued by Philippines, the use of raw material has the effect on the product's properties. In our view, this should be an important factor to determine the 'like product' in this dispute”</w:t>
      </w:r>
      <w:r w:rsidRPr="00A04870">
        <w:rPr>
          <w:rStyle w:val="FootnoteReference"/>
          <w:rFonts w:ascii="Times New Roman" w:hAnsi="Times New Roman" w:cs="Times New Roman"/>
          <w:i/>
          <w:sz w:val="24"/>
          <w:szCs w:val="24"/>
        </w:rPr>
        <w:footnoteReference w:id="11"/>
      </w:r>
      <w:r w:rsidRPr="00A04870">
        <w:rPr>
          <w:rFonts w:ascii="Times New Roman" w:hAnsi="Times New Roman" w:cs="Times New Roman"/>
          <w:i/>
          <w:sz w:val="24"/>
          <w:szCs w:val="24"/>
        </w:rPr>
        <w:t xml:space="preserve"> </w:t>
      </w:r>
    </w:p>
    <w:p w:rsidR="00A04870" w:rsidRPr="00A04870" w:rsidRDefault="00A04870" w:rsidP="00A04870">
      <w:pPr>
        <w:spacing w:line="360" w:lineRule="auto"/>
        <w:jc w:val="both"/>
        <w:rPr>
          <w:rFonts w:ascii="Times New Roman" w:hAnsi="Times New Roman" w:cs="Times New Roman"/>
          <w:sz w:val="24"/>
          <w:szCs w:val="24"/>
        </w:rPr>
      </w:pPr>
      <w:r w:rsidRPr="00A04870">
        <w:rPr>
          <w:rFonts w:ascii="Times New Roman" w:hAnsi="Times New Roman" w:cs="Times New Roman"/>
          <w:sz w:val="24"/>
          <w:szCs w:val="24"/>
        </w:rPr>
        <w:t xml:space="preserve">In this case, India raised question as to the interpretation of WTO provisions while at the same time took a diplomatic stance by clearing the determination of differentiated taxation of goods, regarding which India was facing an issue with EU not considering their ‘whisky’ among the same category on the basis of similar classification as made by Philippine, so, in such a situation, despite not handling a litigation itself, India made its legal as well as diplomatic stance stronger. </w:t>
      </w:r>
    </w:p>
    <w:p w:rsidR="00A04870" w:rsidRPr="00A04870" w:rsidRDefault="00A04870" w:rsidP="00A04870">
      <w:pPr>
        <w:spacing w:line="360" w:lineRule="auto"/>
        <w:jc w:val="both"/>
        <w:rPr>
          <w:rFonts w:ascii="Times New Roman" w:hAnsi="Times New Roman" w:cs="Times New Roman"/>
          <w:sz w:val="24"/>
          <w:szCs w:val="24"/>
        </w:rPr>
      </w:pPr>
      <w:r w:rsidRPr="00A04870">
        <w:rPr>
          <w:rFonts w:ascii="Times New Roman" w:hAnsi="Times New Roman" w:cs="Times New Roman"/>
          <w:sz w:val="24"/>
          <w:szCs w:val="24"/>
        </w:rPr>
        <w:t xml:space="preserve">Lastly, </w:t>
      </w:r>
      <w:r w:rsidRPr="00A04870">
        <w:rPr>
          <w:rFonts w:ascii="Times New Roman" w:hAnsi="Times New Roman" w:cs="Times New Roman"/>
          <w:i/>
          <w:sz w:val="24"/>
          <w:szCs w:val="24"/>
        </w:rPr>
        <w:t>US- Upland Cotton Case</w:t>
      </w:r>
      <w:r w:rsidRPr="00A04870">
        <w:rPr>
          <w:rFonts w:ascii="Times New Roman" w:hAnsi="Times New Roman" w:cs="Times New Roman"/>
          <w:sz w:val="24"/>
          <w:szCs w:val="24"/>
        </w:rPr>
        <w:t xml:space="preserve"> was regarding a dispute between US &amp; Brazil regarding subsidies on cotton production being provided by US to cotton producers, USA being largest trader of cotton. India participated as a third party, though, US and Brazil approached on a mutually agreed condition of US investing in Brazil’s cotton study institute, thereby, not revoking the offensive measure as well. The WTO mandates that all the solutions reached upon during consultation must be in consistency with the WTO commitment and must not impair benefits accruing to any other member and nor should impede any objective of the WTO agreements.</w:t>
      </w:r>
      <w:r w:rsidRPr="00A04870">
        <w:rPr>
          <w:rStyle w:val="FootnoteReference"/>
          <w:rFonts w:ascii="Times New Roman" w:hAnsi="Times New Roman" w:cs="Times New Roman"/>
          <w:sz w:val="24"/>
          <w:szCs w:val="24"/>
        </w:rPr>
        <w:footnoteReference w:id="12"/>
      </w:r>
      <w:r w:rsidRPr="00A04870">
        <w:rPr>
          <w:rFonts w:ascii="Times New Roman" w:hAnsi="Times New Roman" w:cs="Times New Roman"/>
          <w:sz w:val="24"/>
          <w:szCs w:val="24"/>
        </w:rPr>
        <w:t xml:space="preserve"> </w:t>
      </w:r>
    </w:p>
    <w:p w:rsidR="00A04870" w:rsidRPr="00A04870" w:rsidRDefault="00A04870" w:rsidP="00A04870">
      <w:pPr>
        <w:spacing w:line="360" w:lineRule="auto"/>
        <w:jc w:val="both"/>
        <w:rPr>
          <w:rFonts w:ascii="Times New Roman" w:hAnsi="Times New Roman" w:cs="Times New Roman"/>
          <w:sz w:val="24"/>
          <w:szCs w:val="24"/>
        </w:rPr>
      </w:pPr>
      <w:r w:rsidRPr="00A04870">
        <w:rPr>
          <w:rFonts w:ascii="Times New Roman" w:hAnsi="Times New Roman" w:cs="Times New Roman"/>
          <w:sz w:val="24"/>
          <w:szCs w:val="24"/>
        </w:rPr>
        <w:t xml:space="preserve">With a clear analysis of the above mentioned cases and seeing the number of cases that India is a third participant too, even though not taking part in any formal procedural by making any written or oral submission it can be concluded that India take a rather diplomatic stance at the forum of WTO dispute settlement. At the consultation stage, India has a substantive presence </w:t>
      </w:r>
      <w:r w:rsidRPr="00A04870">
        <w:rPr>
          <w:rFonts w:ascii="Times New Roman" w:hAnsi="Times New Roman" w:cs="Times New Roman"/>
          <w:sz w:val="24"/>
          <w:szCs w:val="24"/>
        </w:rPr>
        <w:lastRenderedPageBreak/>
        <w:t xml:space="preserve">in many cases, thereby, not leaving an opportunity to take advantage of any benefit that might be negotiated. </w:t>
      </w:r>
    </w:p>
    <w:p w:rsidR="00A04870" w:rsidRPr="00A04870" w:rsidRDefault="00A04870" w:rsidP="00A04870">
      <w:pPr>
        <w:spacing w:line="360" w:lineRule="auto"/>
        <w:jc w:val="both"/>
        <w:rPr>
          <w:rFonts w:ascii="Times New Roman" w:hAnsi="Times New Roman" w:cs="Times New Roman"/>
          <w:sz w:val="24"/>
          <w:szCs w:val="24"/>
        </w:rPr>
      </w:pPr>
      <w:r w:rsidRPr="00A04870">
        <w:rPr>
          <w:rFonts w:ascii="Times New Roman" w:hAnsi="Times New Roman" w:cs="Times New Roman"/>
          <w:sz w:val="24"/>
          <w:szCs w:val="24"/>
        </w:rPr>
        <w:t xml:space="preserve">It can, therefore, be legitimately concluded that despite having an elaborate dispute settlement unit and procedures, till date, the WTO remains to be a diplomatic institution. Even though the rulings are considered to be binding, the perception of the members and the political influence of the participating parties shape the impact of rulings. While absence of third parties makes it a simplistic legal procedure of the winner benefiting and loser being harmed, the third party intervention makes it a diplomatic channel of economic and legal preferences of several actors. </w:t>
      </w:r>
    </w:p>
    <w:p w:rsidR="00A04870" w:rsidRPr="00A04870" w:rsidRDefault="00A04870" w:rsidP="00A04870">
      <w:pPr>
        <w:spacing w:line="360" w:lineRule="auto"/>
        <w:jc w:val="both"/>
        <w:rPr>
          <w:rFonts w:ascii="Times New Roman" w:hAnsi="Times New Roman" w:cs="Times New Roman"/>
          <w:sz w:val="24"/>
          <w:szCs w:val="24"/>
        </w:rPr>
      </w:pPr>
      <w:r w:rsidRPr="00A04870">
        <w:rPr>
          <w:rFonts w:ascii="Times New Roman" w:hAnsi="Times New Roman" w:cs="Times New Roman"/>
          <w:sz w:val="24"/>
          <w:szCs w:val="24"/>
        </w:rPr>
        <w:t xml:space="preserve">However, while contesting for a permanent membership of UN and being one of the fastest growing economies in the world, it is time that India can notch up its stance and be an active participant in the evolving legal scenario of the WTO settlement process as well. A meagre number of 5 cases over a period of 3 years as a substantial participant puts the research at a contemplative juncture wherein the question upon India’s view of the WTO settlement arises, is it merely a diplomatic forum or a genuine judicial entity for settlement of disputes. </w:t>
      </w:r>
    </w:p>
    <w:p w:rsidR="00A04870" w:rsidRPr="00A04870" w:rsidRDefault="00A04870" w:rsidP="00A04870">
      <w:pPr>
        <w:spacing w:line="360" w:lineRule="auto"/>
        <w:jc w:val="both"/>
        <w:rPr>
          <w:rFonts w:ascii="Times New Roman" w:hAnsi="Times New Roman" w:cs="Times New Roman"/>
          <w:sz w:val="24"/>
          <w:szCs w:val="24"/>
        </w:rPr>
      </w:pPr>
    </w:p>
    <w:p w:rsidR="00A04870" w:rsidRPr="00A04870" w:rsidRDefault="00A04870" w:rsidP="00A04870">
      <w:pPr>
        <w:spacing w:line="360" w:lineRule="auto"/>
        <w:jc w:val="both"/>
        <w:rPr>
          <w:rFonts w:ascii="Times New Roman" w:hAnsi="Times New Roman" w:cs="Times New Roman"/>
          <w:sz w:val="24"/>
          <w:szCs w:val="24"/>
        </w:rPr>
      </w:pPr>
    </w:p>
    <w:p w:rsidR="007D41BA" w:rsidRPr="00A04870" w:rsidRDefault="007D41BA" w:rsidP="00A04870">
      <w:pPr>
        <w:pStyle w:val="Heading1"/>
        <w:spacing w:after="240" w:line="360" w:lineRule="auto"/>
        <w:jc w:val="both"/>
        <w:rPr>
          <w:rFonts w:cs="Times New Roman"/>
          <w:szCs w:val="24"/>
        </w:rPr>
      </w:pPr>
    </w:p>
    <w:sectPr w:rsidR="007D41BA" w:rsidRPr="00A04870" w:rsidSect="002716DE">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EF3" w:rsidRDefault="00AC5EF3" w:rsidP="00273650">
      <w:pPr>
        <w:spacing w:after="0" w:line="240" w:lineRule="auto"/>
      </w:pPr>
      <w:r>
        <w:separator/>
      </w:r>
    </w:p>
  </w:endnote>
  <w:endnote w:type="continuationSeparator" w:id="1">
    <w:p w:rsidR="00AC5EF3" w:rsidRDefault="00AC5EF3" w:rsidP="00273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61" w:rsidRDefault="003D2061">
    <w:pPr>
      <w:pStyle w:val="Footer"/>
      <w:pBdr>
        <w:top w:val="thinThickSmallGap" w:sz="24" w:space="1" w:color="622423" w:themeColor="accent2" w:themeShade="7F"/>
      </w:pBdr>
      <w:rPr>
        <w:rFonts w:asciiTheme="majorHAnsi" w:hAnsiTheme="majorHAnsi"/>
      </w:rPr>
    </w:pPr>
    <w:r w:rsidRPr="001B77DC">
      <w:rPr>
        <w:rFonts w:asciiTheme="majorHAnsi" w:hAnsiTheme="majorHAnsi"/>
        <w:sz w:val="24"/>
      </w:rPr>
      <w:t>“Udgam</w:t>
    </w:r>
    <w:r w:rsidR="00A04870">
      <w:rPr>
        <w:rFonts w:asciiTheme="majorHAnsi" w:hAnsiTheme="majorHAnsi"/>
        <w:sz w:val="24"/>
      </w:rPr>
      <w:t xml:space="preserve"> </w:t>
    </w:r>
    <w:r w:rsidRPr="001B77DC">
      <w:rPr>
        <w:rFonts w:asciiTheme="majorHAnsi" w:hAnsiTheme="majorHAnsi"/>
        <w:sz w:val="24"/>
      </w:rPr>
      <w:t>Vigyati” – The Origin of Knowledge</w:t>
    </w:r>
    <w:r>
      <w:rPr>
        <w:rFonts w:asciiTheme="majorHAnsi" w:hAnsiTheme="majorHAnsi"/>
      </w:rPr>
      <w:ptab w:relativeTo="margin" w:alignment="right" w:leader="none"/>
    </w:r>
    <w:r>
      <w:rPr>
        <w:rFonts w:asciiTheme="majorHAnsi" w:hAnsiTheme="majorHAnsi"/>
      </w:rPr>
      <w:t xml:space="preserve">Page </w:t>
    </w:r>
    <w:r w:rsidR="00683FFA" w:rsidRPr="00683FFA">
      <w:fldChar w:fldCharType="begin"/>
    </w:r>
    <w:r w:rsidR="00163098">
      <w:instrText xml:space="preserve"> PAGE   \* MERGEFORMAT </w:instrText>
    </w:r>
    <w:r w:rsidR="00683FFA" w:rsidRPr="00683FFA">
      <w:fldChar w:fldCharType="separate"/>
    </w:r>
    <w:r w:rsidR="00084F17" w:rsidRPr="00084F17">
      <w:rPr>
        <w:rFonts w:asciiTheme="majorHAnsi" w:hAnsiTheme="majorHAnsi"/>
        <w:noProof/>
      </w:rPr>
      <w:t>8</w:t>
    </w:r>
    <w:r w:rsidR="00683FFA">
      <w:rPr>
        <w:rFonts w:asciiTheme="majorHAnsi" w:hAnsiTheme="majorHAnsi"/>
        <w:noProof/>
      </w:rPr>
      <w:fldChar w:fldCharType="end"/>
    </w:r>
  </w:p>
  <w:p w:rsidR="003D2061" w:rsidRDefault="003D2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EF3" w:rsidRDefault="00AC5EF3" w:rsidP="00273650">
      <w:pPr>
        <w:spacing w:after="0" w:line="240" w:lineRule="auto"/>
      </w:pPr>
      <w:r>
        <w:separator/>
      </w:r>
    </w:p>
  </w:footnote>
  <w:footnote w:type="continuationSeparator" w:id="1">
    <w:p w:rsidR="00AC5EF3" w:rsidRDefault="00AC5EF3" w:rsidP="00273650">
      <w:pPr>
        <w:spacing w:after="0" w:line="240" w:lineRule="auto"/>
      </w:pPr>
      <w:r>
        <w:continuationSeparator/>
      </w:r>
    </w:p>
  </w:footnote>
  <w:footnote w:id="2">
    <w:p w:rsidR="00A04870" w:rsidRPr="00A04870" w:rsidRDefault="00A04870" w:rsidP="00A04870">
      <w:pPr>
        <w:pStyle w:val="FootnoteText"/>
        <w:spacing w:line="360" w:lineRule="auto"/>
        <w:jc w:val="both"/>
        <w:rPr>
          <w:rFonts w:ascii="Times New Roman" w:hAnsi="Times New Roman" w:cs="Times New Roman"/>
        </w:rPr>
      </w:pPr>
      <w:r w:rsidRPr="00A04870">
        <w:rPr>
          <w:rStyle w:val="FootnoteReference"/>
          <w:rFonts w:ascii="Times New Roman" w:hAnsi="Times New Roman" w:cs="Times New Roman"/>
        </w:rPr>
        <w:footnoteRef/>
      </w:r>
      <w:r w:rsidRPr="00A04870">
        <w:rPr>
          <w:rFonts w:ascii="Times New Roman" w:hAnsi="Times New Roman" w:cs="Times New Roman"/>
        </w:rPr>
        <w:t xml:space="preserve"> Chi Carmody, “Of Substantial Interest: Third Parties under GATT,” Michigan Journal of International Law 18, no. 4 (1997); Zhu Lanye, “The Effects of the WTO Dispute Settlement Panel and Appellate Body Reports,” Temple International and Comparative Law Journal 17, no. 1 (2003), 235; Duane W. Layton and Jorge O. Miranda, “Advocacy before World Trade Organization Dispute Settlement Panels in Trade Remedy Cases,” Journal of World Trade 37, no. 1 (2003), 95–96.</w:t>
      </w:r>
    </w:p>
  </w:footnote>
  <w:footnote w:id="3">
    <w:p w:rsidR="00A04870" w:rsidRPr="00A04870" w:rsidRDefault="00A04870" w:rsidP="00A04870">
      <w:pPr>
        <w:pStyle w:val="FootnoteText"/>
        <w:spacing w:line="360" w:lineRule="auto"/>
        <w:jc w:val="both"/>
        <w:rPr>
          <w:rFonts w:ascii="Times New Roman" w:hAnsi="Times New Roman" w:cs="Times New Roman"/>
        </w:rPr>
      </w:pPr>
      <w:r w:rsidRPr="00A04870">
        <w:rPr>
          <w:rStyle w:val="FootnoteReference"/>
          <w:rFonts w:ascii="Times New Roman" w:hAnsi="Times New Roman" w:cs="Times New Roman"/>
        </w:rPr>
        <w:footnoteRef/>
      </w:r>
      <w:r w:rsidRPr="00A04870">
        <w:rPr>
          <w:rFonts w:ascii="Times New Roman" w:hAnsi="Times New Roman" w:cs="Times New Roman"/>
        </w:rPr>
        <w:t xml:space="preserve"> See, for example, WTO Documents TN/DS/W/38, TN/DS/W/25, and TN/DS/W/41.</w:t>
      </w:r>
    </w:p>
  </w:footnote>
  <w:footnote w:id="4">
    <w:p w:rsidR="00A04870" w:rsidRPr="00A04870" w:rsidRDefault="00A04870" w:rsidP="00A04870">
      <w:pPr>
        <w:pStyle w:val="FootnoteText"/>
        <w:spacing w:line="360" w:lineRule="auto"/>
        <w:jc w:val="both"/>
        <w:rPr>
          <w:rFonts w:ascii="Times New Roman" w:hAnsi="Times New Roman" w:cs="Times New Roman"/>
        </w:rPr>
      </w:pPr>
      <w:r w:rsidRPr="00A04870">
        <w:rPr>
          <w:rStyle w:val="FootnoteReference"/>
          <w:rFonts w:ascii="Times New Roman" w:hAnsi="Times New Roman" w:cs="Times New Roman"/>
        </w:rPr>
        <w:footnoteRef/>
      </w:r>
      <w:r w:rsidRPr="00A04870">
        <w:rPr>
          <w:rFonts w:ascii="Times New Roman" w:hAnsi="Times New Roman" w:cs="Times New Roman"/>
        </w:rPr>
        <w:t xml:space="preserve"> See Karen J. Alter, “European Governments and the ECJ,” International Organization 52, no. 1 (1998); Geoffrey Garrett, R. Daniel Keleman, and Heiner Schulz, “The European Court of Justice, National Governments, and Legal Integration in the European Union,” International Organization 52, no. 1 (1998); Laurence R. Helfer and Anne-Marie Slaughter, “Why States Create International Tribunals: A Response to Professors Posner and Yoo,” California Law Review 93 (May 2005).</w:t>
      </w:r>
    </w:p>
  </w:footnote>
  <w:footnote w:id="5">
    <w:p w:rsidR="00A04870" w:rsidRPr="00A04870" w:rsidRDefault="00A04870" w:rsidP="00A04870">
      <w:pPr>
        <w:pStyle w:val="FootnoteText"/>
        <w:spacing w:line="360" w:lineRule="auto"/>
        <w:jc w:val="both"/>
        <w:rPr>
          <w:rFonts w:ascii="Times New Roman" w:hAnsi="Times New Roman" w:cs="Times New Roman"/>
        </w:rPr>
      </w:pPr>
      <w:r w:rsidRPr="00A04870">
        <w:rPr>
          <w:rStyle w:val="FootnoteReference"/>
          <w:rFonts w:ascii="Times New Roman" w:hAnsi="Times New Roman" w:cs="Times New Roman"/>
        </w:rPr>
        <w:footnoteRef/>
      </w:r>
      <w:r w:rsidRPr="00A04870">
        <w:rPr>
          <w:rFonts w:ascii="Times New Roman" w:hAnsi="Times New Roman" w:cs="Times New Roman"/>
        </w:rPr>
        <w:t xml:space="preserve"> Allan Rosas, “Joinder of Parties and Third Party Intervention in WTO Dispute Settlement,” in Friedl Weiss, ed., Improving WTO Dispute Settlement Procedures: Issues and Lessons from the Practice of Other International Courts and Tribunals (London: Cameron, May 2000); James McCall Smith, “WTO Dispute Settlement: The Politics of Procedure in Appellate Body Rulings,” World Trade Review 2, no. 1 (2003).</w:t>
      </w:r>
    </w:p>
  </w:footnote>
  <w:footnote w:id="6">
    <w:p w:rsidR="00A04870" w:rsidRPr="00A04870" w:rsidRDefault="00A04870" w:rsidP="00A04870">
      <w:pPr>
        <w:pStyle w:val="FootnoteText"/>
        <w:spacing w:line="360" w:lineRule="auto"/>
        <w:jc w:val="both"/>
        <w:rPr>
          <w:rFonts w:ascii="Times New Roman" w:hAnsi="Times New Roman" w:cs="Times New Roman"/>
        </w:rPr>
      </w:pPr>
      <w:r w:rsidRPr="00A04870">
        <w:rPr>
          <w:rStyle w:val="FootnoteReference"/>
          <w:rFonts w:ascii="Times New Roman" w:hAnsi="Times New Roman" w:cs="Times New Roman"/>
        </w:rPr>
        <w:footnoteRef/>
      </w:r>
      <w:r w:rsidRPr="00A04870">
        <w:rPr>
          <w:rFonts w:ascii="Times New Roman" w:hAnsi="Times New Roman" w:cs="Times New Roman"/>
        </w:rPr>
        <w:t xml:space="preserve">  David Stasavage, “Open-Door or Closed-Door? Transparency in Domestic and International Bargaining,” International Organization 58, no. 4 (2004), 682.</w:t>
      </w:r>
    </w:p>
  </w:footnote>
  <w:footnote w:id="7">
    <w:p w:rsidR="00A04870" w:rsidRPr="00A04870" w:rsidRDefault="00A04870" w:rsidP="00A04870">
      <w:pPr>
        <w:pStyle w:val="FootnoteText"/>
        <w:spacing w:line="360" w:lineRule="auto"/>
        <w:jc w:val="both"/>
        <w:rPr>
          <w:rFonts w:ascii="Times New Roman" w:hAnsi="Times New Roman" w:cs="Times New Roman"/>
        </w:rPr>
      </w:pPr>
      <w:r w:rsidRPr="00A04870">
        <w:rPr>
          <w:rStyle w:val="FootnoteReference"/>
          <w:rFonts w:ascii="Times New Roman" w:hAnsi="Times New Roman" w:cs="Times New Roman"/>
        </w:rPr>
        <w:footnoteRef/>
      </w:r>
      <w:r w:rsidRPr="00A04870">
        <w:rPr>
          <w:rFonts w:ascii="Times New Roman" w:hAnsi="Times New Roman" w:cs="Times New Roman"/>
        </w:rPr>
        <w:t xml:space="preserve"> (the original article) </w:t>
      </w:r>
    </w:p>
  </w:footnote>
  <w:footnote w:id="8">
    <w:p w:rsidR="00A04870" w:rsidRPr="00A04870" w:rsidRDefault="00A04870" w:rsidP="00A04870">
      <w:pPr>
        <w:pStyle w:val="FootnoteText"/>
        <w:spacing w:line="360" w:lineRule="auto"/>
        <w:jc w:val="both"/>
        <w:rPr>
          <w:rFonts w:ascii="Times New Roman" w:hAnsi="Times New Roman" w:cs="Times New Roman"/>
        </w:rPr>
      </w:pPr>
      <w:r w:rsidRPr="00A04870">
        <w:rPr>
          <w:rStyle w:val="FootnoteReference"/>
          <w:rFonts w:ascii="Times New Roman" w:hAnsi="Times New Roman" w:cs="Times New Roman"/>
        </w:rPr>
        <w:footnoteRef/>
      </w:r>
      <w:r w:rsidRPr="00A04870">
        <w:rPr>
          <w:rFonts w:ascii="Times New Roman" w:hAnsi="Times New Roman" w:cs="Times New Roman"/>
        </w:rPr>
        <w:t xml:space="preserve"> Clifford J. Carrubba, Matthew Gabel, and Charles Hankla, “Judicial Behavior under Political Constraints: Evidence from the European Court of Justice” (Manuscript, Emory University, Atlanta, Ga., 2006). See also R. Daniel Kelemen, “The Limits of Judicial Power: Trade-Environment Disputes in the GATT/WTO and the EU,” Comparative Political Studies 34, no. 6 (2001); Geoffrey Garrett and James McCall Smith, “The Politics of WTO Dispute Settlement” (Manuscript, UCLA, 2002).</w:t>
      </w:r>
    </w:p>
  </w:footnote>
  <w:footnote w:id="9">
    <w:p w:rsidR="00A04870" w:rsidRPr="00A04870" w:rsidRDefault="00A04870" w:rsidP="00A04870">
      <w:pPr>
        <w:pStyle w:val="FootnoteText"/>
        <w:spacing w:line="360" w:lineRule="auto"/>
        <w:jc w:val="both"/>
        <w:rPr>
          <w:rFonts w:ascii="Times New Roman" w:hAnsi="Times New Roman" w:cs="Times New Roman"/>
        </w:rPr>
      </w:pPr>
      <w:r w:rsidRPr="00A04870">
        <w:rPr>
          <w:rStyle w:val="FootnoteReference"/>
          <w:rFonts w:ascii="Times New Roman" w:hAnsi="Times New Roman" w:cs="Times New Roman"/>
        </w:rPr>
        <w:footnoteRef/>
      </w:r>
      <w:r w:rsidRPr="00A04870">
        <w:rPr>
          <w:rFonts w:ascii="Times New Roman" w:hAnsi="Times New Roman" w:cs="Times New Roman"/>
        </w:rPr>
        <w:t xml:space="preserve"> Chad Bown, “Participation in WTO Dispute Settlement: Complainants, Interested Parties and Free Riders,” World Bank Economic Review 19, no. 2 (2005).</w:t>
      </w:r>
    </w:p>
  </w:footnote>
  <w:footnote w:id="10">
    <w:p w:rsidR="00A04870" w:rsidRPr="00A04870" w:rsidRDefault="00A04870" w:rsidP="00A04870">
      <w:pPr>
        <w:pStyle w:val="FootnoteText"/>
        <w:spacing w:line="360" w:lineRule="auto"/>
        <w:jc w:val="both"/>
        <w:rPr>
          <w:rFonts w:ascii="Times New Roman" w:hAnsi="Times New Roman" w:cs="Times New Roman"/>
        </w:rPr>
      </w:pPr>
      <w:r w:rsidRPr="00A04870">
        <w:rPr>
          <w:rStyle w:val="FootnoteReference"/>
          <w:rFonts w:ascii="Times New Roman" w:hAnsi="Times New Roman" w:cs="Times New Roman"/>
        </w:rPr>
        <w:footnoteRef/>
      </w:r>
      <w:r w:rsidRPr="00A04870">
        <w:rPr>
          <w:rFonts w:ascii="Times New Roman" w:hAnsi="Times New Roman" w:cs="Times New Roman"/>
        </w:rPr>
        <w:t xml:space="preserve"> Article III.2, GATT 1994. </w:t>
      </w:r>
    </w:p>
  </w:footnote>
  <w:footnote w:id="11">
    <w:p w:rsidR="00A04870" w:rsidRPr="00A04870" w:rsidRDefault="00A04870" w:rsidP="00A04870">
      <w:pPr>
        <w:pStyle w:val="FootnoteText"/>
        <w:spacing w:line="360" w:lineRule="auto"/>
        <w:jc w:val="both"/>
        <w:rPr>
          <w:rFonts w:ascii="Times New Roman" w:hAnsi="Times New Roman" w:cs="Times New Roman"/>
        </w:rPr>
      </w:pPr>
      <w:r w:rsidRPr="00A04870">
        <w:rPr>
          <w:rStyle w:val="FootnoteReference"/>
          <w:rFonts w:ascii="Times New Roman" w:hAnsi="Times New Roman" w:cs="Times New Roman"/>
        </w:rPr>
        <w:footnoteRef/>
      </w:r>
      <w:r w:rsidRPr="00A04870">
        <w:rPr>
          <w:rFonts w:ascii="Times New Roman" w:hAnsi="Times New Roman" w:cs="Times New Roman"/>
        </w:rPr>
        <w:t xml:space="preserve"> Case citation</w:t>
      </w:r>
    </w:p>
  </w:footnote>
  <w:footnote w:id="12">
    <w:p w:rsidR="00A04870" w:rsidRPr="00A04870" w:rsidRDefault="00A04870" w:rsidP="00A04870">
      <w:pPr>
        <w:pStyle w:val="FootnoteText"/>
        <w:spacing w:line="360" w:lineRule="auto"/>
        <w:jc w:val="both"/>
        <w:rPr>
          <w:rFonts w:ascii="Times New Roman" w:hAnsi="Times New Roman" w:cs="Times New Roman"/>
        </w:rPr>
      </w:pPr>
      <w:r w:rsidRPr="00A04870">
        <w:rPr>
          <w:rStyle w:val="FootnoteReference"/>
          <w:rFonts w:ascii="Times New Roman" w:hAnsi="Times New Roman" w:cs="Times New Roman"/>
        </w:rPr>
        <w:footnoteRef/>
      </w:r>
      <w:r w:rsidRPr="00A04870">
        <w:rPr>
          <w:rFonts w:ascii="Times New Roman" w:hAnsi="Times New Roman" w:cs="Times New Roman"/>
        </w:rPr>
        <w:t xml:space="preserve"> Article 3.5, Dispute Settlement Understanding.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77738743"/>
      <w:placeholder>
        <w:docPart w:val="BA463B1A3AAB4F62BB5F422E65B87620"/>
      </w:placeholder>
      <w:dataBinding w:prefixMappings="xmlns:ns0='http://schemas.openxmlformats.org/package/2006/metadata/core-properties' xmlns:ns1='http://purl.org/dc/elements/1.1/'" w:xpath="/ns0:coreProperties[1]/ns1:title[1]" w:storeItemID="{6C3C8BC8-F283-45AE-878A-BAB7291924A1}"/>
      <w:text/>
    </w:sdtPr>
    <w:sdtContent>
      <w:p w:rsidR="00BE2CB3" w:rsidRPr="00C93767" w:rsidRDefault="00084F17" w:rsidP="00C93767">
        <w:pPr>
          <w:pStyle w:val="Header"/>
          <w:pBdr>
            <w:bottom w:val="thickThinSmallGap" w:sz="24" w:space="1" w:color="622423" w:themeColor="accent2" w:themeShade="7F"/>
          </w:pBdr>
          <w:rPr>
            <w:rFonts w:asciiTheme="majorHAnsi" w:eastAsiaTheme="majorEastAsia" w:hAnsiTheme="majorHAnsi" w:cstheme="majorBidi"/>
            <w:sz w:val="32"/>
            <w:szCs w:val="32"/>
          </w:rPr>
        </w:pPr>
        <w:r w:rsidRPr="00943911">
          <w:rPr>
            <w:rFonts w:asciiTheme="majorHAnsi" w:eastAsiaTheme="majorEastAsia" w:hAnsiTheme="majorHAnsi" w:cstheme="majorBidi"/>
          </w:rPr>
          <w:t xml:space="preserve">Volume 10, (2018), June                                                                                                 </w:t>
        </w:r>
        <w:r>
          <w:rPr>
            <w:rFonts w:asciiTheme="majorHAnsi" w:eastAsiaTheme="majorEastAsia" w:hAnsiTheme="majorHAnsi" w:cstheme="majorBidi"/>
          </w:rPr>
          <w:t>“ISSN 2455-2488”</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1DD0"/>
    <w:multiLevelType w:val="hybridMultilevel"/>
    <w:tmpl w:val="99A0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3452F"/>
    <w:multiLevelType w:val="hybridMultilevel"/>
    <w:tmpl w:val="AF78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7CE"/>
    <w:multiLevelType w:val="hybridMultilevel"/>
    <w:tmpl w:val="160E707E"/>
    <w:lvl w:ilvl="0" w:tplc="2E723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B4BB2"/>
    <w:multiLevelType w:val="hybridMultilevel"/>
    <w:tmpl w:val="D5C68436"/>
    <w:lvl w:ilvl="0" w:tplc="9A4CD5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6502F1"/>
    <w:multiLevelType w:val="hybridMultilevel"/>
    <w:tmpl w:val="184675FA"/>
    <w:lvl w:ilvl="0" w:tplc="7C48398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BB24C09"/>
    <w:multiLevelType w:val="multilevel"/>
    <w:tmpl w:val="104C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FC5BB7"/>
    <w:multiLevelType w:val="hybridMultilevel"/>
    <w:tmpl w:val="7A2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E80F81"/>
    <w:multiLevelType w:val="hybridMultilevel"/>
    <w:tmpl w:val="338E57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42847812"/>
    <w:multiLevelType w:val="hybridMultilevel"/>
    <w:tmpl w:val="916C6434"/>
    <w:lvl w:ilvl="0" w:tplc="EAB82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E449F2"/>
    <w:multiLevelType w:val="hybridMultilevel"/>
    <w:tmpl w:val="3AF89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B0779B"/>
    <w:multiLevelType w:val="hybridMultilevel"/>
    <w:tmpl w:val="9FFE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AF2829"/>
    <w:multiLevelType w:val="multilevel"/>
    <w:tmpl w:val="AE7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9B4430"/>
    <w:multiLevelType w:val="hybridMultilevel"/>
    <w:tmpl w:val="5572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12"/>
  </w:num>
  <w:num w:numId="5">
    <w:abstractNumId w:val="10"/>
  </w:num>
  <w:num w:numId="6">
    <w:abstractNumId w:val="6"/>
  </w:num>
  <w:num w:numId="7">
    <w:abstractNumId w:val="9"/>
  </w:num>
  <w:num w:numId="8">
    <w:abstractNumId w:val="0"/>
  </w:num>
  <w:num w:numId="9">
    <w:abstractNumId w:val="5"/>
  </w:num>
  <w:num w:numId="10">
    <w:abstractNumId w:val="11"/>
  </w:num>
  <w:num w:numId="11">
    <w:abstractNumId w:val="7"/>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7C83"/>
    <w:rsid w:val="0001529B"/>
    <w:rsid w:val="00084F17"/>
    <w:rsid w:val="000A2897"/>
    <w:rsid w:val="000A2CFC"/>
    <w:rsid w:val="000D33E5"/>
    <w:rsid w:val="000D5FE5"/>
    <w:rsid w:val="000D6046"/>
    <w:rsid w:val="000E33A9"/>
    <w:rsid w:val="00106B9A"/>
    <w:rsid w:val="00107EE0"/>
    <w:rsid w:val="0012019B"/>
    <w:rsid w:val="00133BBA"/>
    <w:rsid w:val="00152C19"/>
    <w:rsid w:val="00163098"/>
    <w:rsid w:val="001C4850"/>
    <w:rsid w:val="001C48C5"/>
    <w:rsid w:val="001D44A3"/>
    <w:rsid w:val="001E0384"/>
    <w:rsid w:val="001F33BB"/>
    <w:rsid w:val="00201ED8"/>
    <w:rsid w:val="00235A66"/>
    <w:rsid w:val="0025546C"/>
    <w:rsid w:val="00256541"/>
    <w:rsid w:val="00264209"/>
    <w:rsid w:val="002716DE"/>
    <w:rsid w:val="00273650"/>
    <w:rsid w:val="002865CF"/>
    <w:rsid w:val="002C2598"/>
    <w:rsid w:val="002D213B"/>
    <w:rsid w:val="002D2A19"/>
    <w:rsid w:val="002D4E96"/>
    <w:rsid w:val="002E511D"/>
    <w:rsid w:val="002F1241"/>
    <w:rsid w:val="00302363"/>
    <w:rsid w:val="0030367D"/>
    <w:rsid w:val="003044F8"/>
    <w:rsid w:val="00304F81"/>
    <w:rsid w:val="003A2215"/>
    <w:rsid w:val="003A69C7"/>
    <w:rsid w:val="003C5EA3"/>
    <w:rsid w:val="003D2061"/>
    <w:rsid w:val="003D5C7E"/>
    <w:rsid w:val="003E2F28"/>
    <w:rsid w:val="0041106A"/>
    <w:rsid w:val="00434209"/>
    <w:rsid w:val="00456C0D"/>
    <w:rsid w:val="00482BCE"/>
    <w:rsid w:val="004A35D3"/>
    <w:rsid w:val="004B08E2"/>
    <w:rsid w:val="004B5A4F"/>
    <w:rsid w:val="004C7EE9"/>
    <w:rsid w:val="004E1368"/>
    <w:rsid w:val="005050EA"/>
    <w:rsid w:val="0053507A"/>
    <w:rsid w:val="00537F44"/>
    <w:rsid w:val="005A7D3D"/>
    <w:rsid w:val="005B2440"/>
    <w:rsid w:val="005B36B4"/>
    <w:rsid w:val="005C6E92"/>
    <w:rsid w:val="005D53B9"/>
    <w:rsid w:val="005F6751"/>
    <w:rsid w:val="006064E5"/>
    <w:rsid w:val="00606BEE"/>
    <w:rsid w:val="0063588A"/>
    <w:rsid w:val="00656848"/>
    <w:rsid w:val="0068032C"/>
    <w:rsid w:val="00681351"/>
    <w:rsid w:val="00682AD5"/>
    <w:rsid w:val="00683FFA"/>
    <w:rsid w:val="00695EF4"/>
    <w:rsid w:val="006B11C0"/>
    <w:rsid w:val="006D6A74"/>
    <w:rsid w:val="00701CE2"/>
    <w:rsid w:val="00703AEF"/>
    <w:rsid w:val="007067AE"/>
    <w:rsid w:val="00712D24"/>
    <w:rsid w:val="0072050E"/>
    <w:rsid w:val="0078098B"/>
    <w:rsid w:val="00794E31"/>
    <w:rsid w:val="00795F0F"/>
    <w:rsid w:val="00796473"/>
    <w:rsid w:val="007D1C66"/>
    <w:rsid w:val="007D41BA"/>
    <w:rsid w:val="00813F13"/>
    <w:rsid w:val="0084367C"/>
    <w:rsid w:val="008806CB"/>
    <w:rsid w:val="008A6896"/>
    <w:rsid w:val="008B60EE"/>
    <w:rsid w:val="008D115F"/>
    <w:rsid w:val="008F700E"/>
    <w:rsid w:val="0090102D"/>
    <w:rsid w:val="00901B08"/>
    <w:rsid w:val="00913158"/>
    <w:rsid w:val="009556D5"/>
    <w:rsid w:val="00967758"/>
    <w:rsid w:val="00984241"/>
    <w:rsid w:val="009874C1"/>
    <w:rsid w:val="0099503B"/>
    <w:rsid w:val="009B1A58"/>
    <w:rsid w:val="009C0936"/>
    <w:rsid w:val="009C630D"/>
    <w:rsid w:val="009D4F97"/>
    <w:rsid w:val="009E51A5"/>
    <w:rsid w:val="00A04870"/>
    <w:rsid w:val="00A47C83"/>
    <w:rsid w:val="00A5014C"/>
    <w:rsid w:val="00A56A04"/>
    <w:rsid w:val="00A64FAD"/>
    <w:rsid w:val="00A765BD"/>
    <w:rsid w:val="00AA209A"/>
    <w:rsid w:val="00AC5EF3"/>
    <w:rsid w:val="00B02806"/>
    <w:rsid w:val="00B0414A"/>
    <w:rsid w:val="00B82DB8"/>
    <w:rsid w:val="00B86C4E"/>
    <w:rsid w:val="00B93331"/>
    <w:rsid w:val="00B97C56"/>
    <w:rsid w:val="00BC1503"/>
    <w:rsid w:val="00BD62C3"/>
    <w:rsid w:val="00BD7542"/>
    <w:rsid w:val="00BE0539"/>
    <w:rsid w:val="00BE1BEA"/>
    <w:rsid w:val="00BE2CB3"/>
    <w:rsid w:val="00BF2E0B"/>
    <w:rsid w:val="00C24CF1"/>
    <w:rsid w:val="00C30192"/>
    <w:rsid w:val="00C815FE"/>
    <w:rsid w:val="00C91DD2"/>
    <w:rsid w:val="00C93767"/>
    <w:rsid w:val="00CA0892"/>
    <w:rsid w:val="00CA5B8E"/>
    <w:rsid w:val="00CB2AD7"/>
    <w:rsid w:val="00CB64CF"/>
    <w:rsid w:val="00CD3A20"/>
    <w:rsid w:val="00CE37A8"/>
    <w:rsid w:val="00CE5029"/>
    <w:rsid w:val="00D13FC1"/>
    <w:rsid w:val="00D33E14"/>
    <w:rsid w:val="00D42502"/>
    <w:rsid w:val="00D5351A"/>
    <w:rsid w:val="00D66F55"/>
    <w:rsid w:val="00D67C81"/>
    <w:rsid w:val="00DA4DA2"/>
    <w:rsid w:val="00E356D4"/>
    <w:rsid w:val="00E42054"/>
    <w:rsid w:val="00E446D8"/>
    <w:rsid w:val="00E72AE0"/>
    <w:rsid w:val="00E74488"/>
    <w:rsid w:val="00E85E1B"/>
    <w:rsid w:val="00E97532"/>
    <w:rsid w:val="00EC5AD9"/>
    <w:rsid w:val="00F174E5"/>
    <w:rsid w:val="00F3096E"/>
    <w:rsid w:val="00F31389"/>
    <w:rsid w:val="00F33C12"/>
    <w:rsid w:val="00F4102A"/>
    <w:rsid w:val="00F90C87"/>
    <w:rsid w:val="00F92420"/>
    <w:rsid w:val="00F9571C"/>
    <w:rsid w:val="00FA4A46"/>
    <w:rsid w:val="00FB64D1"/>
    <w:rsid w:val="00FD4B54"/>
    <w:rsid w:val="00FD6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1">
    <w:name w:val="heading 1"/>
    <w:basedOn w:val="Normal"/>
    <w:next w:val="Normal"/>
    <w:link w:val="Heading1Char"/>
    <w:uiPriority w:val="9"/>
    <w:qFormat/>
    <w:rsid w:val="009C0936"/>
    <w:pPr>
      <w:keepNext/>
      <w:keepLines/>
      <w:spacing w:before="480" w:after="0"/>
      <w:jc w:val="center"/>
      <w:outlineLvl w:val="0"/>
    </w:pPr>
    <w:rPr>
      <w:rFonts w:ascii="Times New Roman" w:eastAsiaTheme="majorEastAsia" w:hAnsi="Times New Roman" w:cs="Mangal"/>
      <w:b/>
      <w:bCs/>
      <w:smallCaps/>
      <w:sz w:val="24"/>
      <w:szCs w:val="25"/>
    </w:rPr>
  </w:style>
  <w:style w:type="paragraph" w:styleId="Heading2">
    <w:name w:val="heading 2"/>
    <w:basedOn w:val="Normal"/>
    <w:next w:val="Normal"/>
    <w:link w:val="Heading2Char"/>
    <w:uiPriority w:val="9"/>
    <w:semiHidden/>
    <w:unhideWhenUsed/>
    <w:qFormat/>
    <w:rsid w:val="009C0936"/>
    <w:pPr>
      <w:keepNext/>
      <w:keepLines/>
      <w:spacing w:before="200" w:after="0"/>
      <w:outlineLvl w:val="1"/>
    </w:pPr>
    <w:rPr>
      <w:rFonts w:ascii="Times New Roman" w:eastAsiaTheme="majorEastAsia" w:hAnsi="Times New Roman" w:cs="Mangal"/>
      <w:b/>
      <w:bCs/>
      <w:smallCaps/>
      <w:sz w:val="24"/>
      <w:szCs w:val="23"/>
    </w:rPr>
  </w:style>
  <w:style w:type="paragraph" w:styleId="Heading3">
    <w:name w:val="heading 3"/>
    <w:basedOn w:val="Normal"/>
    <w:link w:val="Heading3Char"/>
    <w:uiPriority w:val="9"/>
    <w:qFormat/>
    <w:rsid w:val="009C0936"/>
    <w:pPr>
      <w:spacing w:before="100" w:beforeAutospacing="1" w:after="100" w:afterAutospacing="1" w:line="240" w:lineRule="auto"/>
      <w:outlineLvl w:val="2"/>
    </w:pPr>
    <w:rPr>
      <w:rFonts w:ascii="Times New Roman" w:eastAsia="Times New Roman" w:hAnsi="Times New Roman" w:cs="Times New Roman"/>
      <w:bCs/>
      <w:i/>
      <w:smallCaps/>
      <w:sz w:val="24"/>
      <w:szCs w:val="27"/>
      <w:lang w:bidi="ar-SA"/>
    </w:rPr>
  </w:style>
  <w:style w:type="paragraph" w:styleId="Heading4">
    <w:name w:val="heading 4"/>
    <w:basedOn w:val="Normal"/>
    <w:next w:val="Normal"/>
    <w:link w:val="Heading4Char"/>
    <w:uiPriority w:val="9"/>
    <w:semiHidden/>
    <w:unhideWhenUsed/>
    <w:qFormat/>
    <w:rsid w:val="00A56A04"/>
    <w:pPr>
      <w:keepNext/>
      <w:keepLines/>
      <w:spacing w:before="200" w:after="0"/>
      <w:outlineLvl w:val="3"/>
    </w:pPr>
    <w:rPr>
      <w:rFonts w:asciiTheme="majorHAnsi" w:eastAsiaTheme="majorEastAsia" w:hAnsiTheme="majorHAnsi" w:cs="Mangal"/>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9C0936"/>
    <w:pPr>
      <w:spacing w:after="0" w:line="360" w:lineRule="auto"/>
      <w:contextualSpacing/>
      <w:jc w:val="center"/>
    </w:pPr>
    <w:rPr>
      <w:rFonts w:ascii="Times New Roman" w:eastAsiaTheme="majorEastAsia" w:hAnsi="Times New Roman" w:cstheme="majorBidi"/>
      <w:b/>
      <w:spacing w:val="-10"/>
      <w:kern w:val="28"/>
      <w:sz w:val="24"/>
      <w:szCs w:val="50"/>
      <w:u w:val="single"/>
    </w:rPr>
  </w:style>
  <w:style w:type="character" w:customStyle="1" w:styleId="TitleChar">
    <w:name w:val="Title Char"/>
    <w:basedOn w:val="DefaultParagraphFont"/>
    <w:link w:val="Title"/>
    <w:uiPriority w:val="10"/>
    <w:rsid w:val="009C0936"/>
    <w:rPr>
      <w:rFonts w:ascii="Times New Roman" w:eastAsiaTheme="majorEastAsia" w:hAnsi="Times New Roman" w:cstheme="majorBidi"/>
      <w:b/>
      <w:spacing w:val="-10"/>
      <w:kern w:val="28"/>
      <w:sz w:val="24"/>
      <w:szCs w:val="50"/>
      <w:u w:val="single"/>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9C0936"/>
    <w:rPr>
      <w:rFonts w:ascii="Times New Roman" w:eastAsia="Times New Roman" w:hAnsi="Times New Roman" w:cs="Times New Roman"/>
      <w:bCs/>
      <w:i/>
      <w:smallCaps/>
      <w:sz w:val="24"/>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 w:type="character" w:customStyle="1" w:styleId="Heading1Char">
    <w:name w:val="Heading 1 Char"/>
    <w:basedOn w:val="DefaultParagraphFont"/>
    <w:link w:val="Heading1"/>
    <w:uiPriority w:val="9"/>
    <w:rsid w:val="009C0936"/>
    <w:rPr>
      <w:rFonts w:ascii="Times New Roman" w:eastAsiaTheme="majorEastAsia" w:hAnsi="Times New Roman" w:cs="Mangal"/>
      <w:b/>
      <w:bCs/>
      <w:smallCaps/>
      <w:sz w:val="24"/>
      <w:szCs w:val="25"/>
      <w:lang w:bidi="hi-IN"/>
    </w:rPr>
  </w:style>
  <w:style w:type="character" w:customStyle="1" w:styleId="Heading2Char">
    <w:name w:val="Heading 2 Char"/>
    <w:basedOn w:val="DefaultParagraphFont"/>
    <w:link w:val="Heading2"/>
    <w:uiPriority w:val="9"/>
    <w:semiHidden/>
    <w:rsid w:val="009C0936"/>
    <w:rPr>
      <w:rFonts w:ascii="Times New Roman" w:eastAsiaTheme="majorEastAsia" w:hAnsi="Times New Roman" w:cs="Mangal"/>
      <w:b/>
      <w:bCs/>
      <w:smallCaps/>
      <w:sz w:val="24"/>
      <w:szCs w:val="23"/>
      <w:lang w:bidi="hi-IN"/>
    </w:rPr>
  </w:style>
  <w:style w:type="character" w:customStyle="1" w:styleId="authors">
    <w:name w:val="authors"/>
    <w:basedOn w:val="DefaultParagraphFont"/>
    <w:rsid w:val="00F3096E"/>
  </w:style>
  <w:style w:type="character" w:customStyle="1" w:styleId="arttitle">
    <w:name w:val="art_title"/>
    <w:basedOn w:val="DefaultParagraphFont"/>
    <w:rsid w:val="00F3096E"/>
  </w:style>
  <w:style w:type="character" w:customStyle="1" w:styleId="serialtitle">
    <w:name w:val="serial_title"/>
    <w:basedOn w:val="DefaultParagraphFont"/>
    <w:rsid w:val="00F3096E"/>
  </w:style>
  <w:style w:type="character" w:customStyle="1" w:styleId="volumeissue">
    <w:name w:val="volume_issue"/>
    <w:basedOn w:val="DefaultParagraphFont"/>
    <w:rsid w:val="00F3096E"/>
  </w:style>
  <w:style w:type="character" w:customStyle="1" w:styleId="pagerange">
    <w:name w:val="page_range"/>
    <w:basedOn w:val="DefaultParagraphFont"/>
    <w:rsid w:val="00F3096E"/>
  </w:style>
  <w:style w:type="character" w:customStyle="1" w:styleId="Heading4Char">
    <w:name w:val="Heading 4 Char"/>
    <w:basedOn w:val="DefaultParagraphFont"/>
    <w:link w:val="Heading4"/>
    <w:uiPriority w:val="9"/>
    <w:semiHidden/>
    <w:rsid w:val="00A56A04"/>
    <w:rPr>
      <w:rFonts w:asciiTheme="majorHAnsi" w:eastAsiaTheme="majorEastAsia" w:hAnsiTheme="majorHAnsi" w:cs="Mangal"/>
      <w:b/>
      <w:bCs/>
      <w:i/>
      <w:iCs/>
      <w:color w:val="4F81BD" w:themeColor="accent1"/>
      <w:szCs w:val="20"/>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3">
    <w:name w:val="heading 3"/>
    <w:basedOn w:val="Normal"/>
    <w:link w:val="Heading3Char"/>
    <w:uiPriority w:val="9"/>
    <w:qFormat/>
    <w:rsid w:val="00F31389"/>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7D41BA"/>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7D41BA"/>
    <w:rPr>
      <w:rFonts w:asciiTheme="majorHAnsi" w:eastAsiaTheme="majorEastAsia" w:hAnsiTheme="majorHAnsi" w:cstheme="majorBidi"/>
      <w:spacing w:val="-10"/>
      <w:kern w:val="28"/>
      <w:sz w:val="56"/>
      <w:szCs w:val="50"/>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F31389"/>
    <w:rPr>
      <w:rFonts w:ascii="Times New Roman" w:eastAsia="Times New Roman" w:hAnsi="Times New Roman" w:cs="Times New Roman"/>
      <w:b/>
      <w:bCs/>
      <w:sz w:val="27"/>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s>
</file>

<file path=word/webSettings.xml><?xml version="1.0" encoding="utf-8"?>
<w:webSettings xmlns:r="http://schemas.openxmlformats.org/officeDocument/2006/relationships" xmlns:w="http://schemas.openxmlformats.org/wordprocessingml/2006/main">
  <w:divs>
    <w:div w:id="6640617">
      <w:bodyDiv w:val="1"/>
      <w:marLeft w:val="0"/>
      <w:marRight w:val="0"/>
      <w:marTop w:val="0"/>
      <w:marBottom w:val="0"/>
      <w:divBdr>
        <w:top w:val="none" w:sz="0" w:space="0" w:color="auto"/>
        <w:left w:val="none" w:sz="0" w:space="0" w:color="auto"/>
        <w:bottom w:val="none" w:sz="0" w:space="0" w:color="auto"/>
        <w:right w:val="none" w:sz="0" w:space="0" w:color="auto"/>
      </w:divBdr>
    </w:div>
    <w:div w:id="1244023216">
      <w:bodyDiv w:val="1"/>
      <w:marLeft w:val="0"/>
      <w:marRight w:val="0"/>
      <w:marTop w:val="0"/>
      <w:marBottom w:val="0"/>
      <w:divBdr>
        <w:top w:val="none" w:sz="0" w:space="0" w:color="auto"/>
        <w:left w:val="none" w:sz="0" w:space="0" w:color="auto"/>
        <w:bottom w:val="none" w:sz="0" w:space="0" w:color="auto"/>
        <w:right w:val="none" w:sz="0" w:space="0" w:color="auto"/>
      </w:divBdr>
    </w:div>
    <w:div w:id="1544830254">
      <w:bodyDiv w:val="1"/>
      <w:marLeft w:val="0"/>
      <w:marRight w:val="0"/>
      <w:marTop w:val="0"/>
      <w:marBottom w:val="0"/>
      <w:divBdr>
        <w:top w:val="none" w:sz="0" w:space="0" w:color="auto"/>
        <w:left w:val="none" w:sz="0" w:space="0" w:color="auto"/>
        <w:bottom w:val="none" w:sz="0" w:space="0" w:color="auto"/>
        <w:right w:val="none" w:sz="0" w:space="0" w:color="auto"/>
      </w:divBdr>
    </w:div>
    <w:div w:id="19391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463B1A3AAB4F62BB5F422E65B87620"/>
        <w:category>
          <w:name w:val="General"/>
          <w:gallery w:val="placeholder"/>
        </w:category>
        <w:types>
          <w:type w:val="bbPlcHdr"/>
        </w:types>
        <w:behaviors>
          <w:behavior w:val="content"/>
        </w:behaviors>
        <w:guid w:val="{A513A7B3-9F93-4BB9-8C06-D833D65C3F73}"/>
      </w:docPartPr>
      <w:docPartBody>
        <w:p w:rsidR="00797A48" w:rsidRDefault="00837382" w:rsidP="00837382">
          <w:pPr>
            <w:pStyle w:val="BA463B1A3AAB4F62BB5F422E65B8762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6C00"/>
    <w:rsid w:val="00236C00"/>
    <w:rsid w:val="00240A27"/>
    <w:rsid w:val="00356CD0"/>
    <w:rsid w:val="006409CE"/>
    <w:rsid w:val="00693887"/>
    <w:rsid w:val="00797A48"/>
    <w:rsid w:val="00837382"/>
    <w:rsid w:val="008921C3"/>
    <w:rsid w:val="008947F4"/>
    <w:rsid w:val="00B03110"/>
    <w:rsid w:val="00E03094"/>
    <w:rsid w:val="00E152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E4305A850E4E77BE79794EBA546438">
    <w:name w:val="0AE4305A850E4E77BE79794EBA546438"/>
    <w:rsid w:val="00236C00"/>
  </w:style>
  <w:style w:type="paragraph" w:customStyle="1" w:styleId="5B2B8EE433B24EB68BFAB9B13E4713A2">
    <w:name w:val="5B2B8EE433B24EB68BFAB9B13E4713A2"/>
    <w:rsid w:val="00236C00"/>
  </w:style>
  <w:style w:type="paragraph" w:customStyle="1" w:styleId="93F73E16D2034A21AE3612AA3EE5C99E">
    <w:name w:val="93F73E16D2034A21AE3612AA3EE5C99E"/>
    <w:rsid w:val="00240A27"/>
  </w:style>
  <w:style w:type="paragraph" w:customStyle="1" w:styleId="79FB6AB1E05B41FF990950FDEFE90EFA">
    <w:name w:val="79FB6AB1E05B41FF990950FDEFE90EFA"/>
    <w:rsid w:val="00240A27"/>
  </w:style>
  <w:style w:type="paragraph" w:customStyle="1" w:styleId="BA463B1A3AAB4F62BB5F422E65B87620">
    <w:name w:val="BA463B1A3AAB4F62BB5F422E65B87620"/>
    <w:rsid w:val="0083738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89117-1E34-4FA7-A49D-800CEC04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2442</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Volume 8, (2017), December                                                                                              “ISSN 2455-2488”</vt:lpstr>
    </vt:vector>
  </TitlesOfParts>
  <Company>diakov.net</Company>
  <LinksUpToDate>false</LinksUpToDate>
  <CharactersWithSpaces>16336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10, (2018), June                                                                                                 “ISSN 2455-2488”</dc:title>
  <dc:creator>Manya Tandon</dc:creator>
  <cp:lastModifiedBy>Administrator</cp:lastModifiedBy>
  <cp:revision>3</cp:revision>
  <dcterms:created xsi:type="dcterms:W3CDTF">2019-07-22T06:44:00Z</dcterms:created>
  <dcterms:modified xsi:type="dcterms:W3CDTF">2019-07-22T09:37:00Z</dcterms:modified>
</cp:coreProperties>
</file>